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F2D15" w14:textId="77777777" w:rsidR="00135941" w:rsidRDefault="00135941" w:rsidP="00135941">
      <w:pPr>
        <w:rPr>
          <w:rFonts w:eastAsiaTheme="minorEastAsia"/>
          <w:b/>
          <w:bCs/>
          <w:color w:val="000000" w:themeColor="text1"/>
        </w:rPr>
      </w:pPr>
    </w:p>
    <w:p w14:paraId="0B814EE1" w14:textId="77777777" w:rsidR="00135941" w:rsidRDefault="00135941" w:rsidP="00135941">
      <w:pPr>
        <w:rPr>
          <w:rFonts w:eastAsiaTheme="minorEastAsia"/>
          <w:b/>
          <w:bCs/>
          <w:color w:val="000000" w:themeColor="text1"/>
        </w:rPr>
      </w:pPr>
    </w:p>
    <w:p w14:paraId="7ABBD5D1" w14:textId="77777777" w:rsidR="00135941" w:rsidRPr="000E41A3" w:rsidRDefault="00135941" w:rsidP="00135941">
      <w:pPr>
        <w:rPr>
          <w:rFonts w:eastAsiaTheme="minorEastAsia"/>
          <w:color w:val="000000" w:themeColor="text1"/>
        </w:rPr>
      </w:pPr>
      <w:r w:rsidRPr="000E41A3">
        <w:rPr>
          <w:b/>
          <w:bCs/>
          <w:color w:val="000000" w:themeColor="text1"/>
        </w:rPr>
        <w:t>Suppl 2</w:t>
      </w:r>
      <w:r w:rsidRPr="000E41A3">
        <w:rPr>
          <w:rFonts w:eastAsiaTheme="minorEastAsia" w:hint="eastAsia"/>
          <w:b/>
          <w:bCs/>
          <w:color w:val="000000" w:themeColor="text1"/>
        </w:rPr>
        <w:t>.</w:t>
      </w:r>
      <w:r w:rsidRPr="000E41A3">
        <w:rPr>
          <w:b/>
          <w:bCs/>
          <w:color w:val="000000" w:themeColor="text1"/>
        </w:rPr>
        <w:t xml:space="preserve"> </w:t>
      </w:r>
      <w:r w:rsidRPr="000E41A3">
        <w:rPr>
          <w:color w:val="000000" w:themeColor="text1"/>
        </w:rPr>
        <w:t>Six Cox models used to analyze the impact of the individual covariates of treatment cohort (azacitidine-venetoclax versus intensive chemotherapy), age, minimal residual disease at transplant (MRD) before transplant, adverse risk genetics, acute GVHD, chronic GVHD, and Hematopoietic Cell Transplantation Comorbidity Index (HCT-CI) on the relapse-free survival time distribution for the two cohorts (azacitidine-venetoclax versus intensive chemotherapy)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98"/>
        <w:gridCol w:w="1277"/>
        <w:gridCol w:w="1984"/>
        <w:gridCol w:w="991"/>
      </w:tblGrid>
      <w:tr w:rsidR="00135941" w:rsidRPr="000E41A3" w14:paraId="729A73DC" w14:textId="77777777" w:rsidTr="00457937">
        <w:trPr>
          <w:trHeight w:val="334"/>
        </w:trPr>
        <w:tc>
          <w:tcPr>
            <w:tcW w:w="2726" w:type="pct"/>
            <w:tcBorders>
              <w:bottom w:val="single" w:sz="4" w:space="0" w:color="auto"/>
            </w:tcBorders>
          </w:tcPr>
          <w:p w14:paraId="1306A917" w14:textId="77777777" w:rsidR="00135941" w:rsidRPr="000E41A3" w:rsidRDefault="00135941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EFFECT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01919C12" w14:textId="77777777" w:rsidR="00135941" w:rsidRPr="000E41A3" w:rsidRDefault="00135941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Degree of Freedom</w:t>
            </w:r>
          </w:p>
        </w:tc>
        <w:tc>
          <w:tcPr>
            <w:tcW w:w="1061" w:type="pct"/>
            <w:tcBorders>
              <w:bottom w:val="single" w:sz="4" w:space="0" w:color="auto"/>
            </w:tcBorders>
          </w:tcPr>
          <w:p w14:paraId="4A1D014E" w14:textId="77777777" w:rsidR="00135941" w:rsidRPr="000E41A3" w:rsidRDefault="00135941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Hazard ratio HR [95% CI]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14:paraId="55C7F1F7" w14:textId="77777777" w:rsidR="00135941" w:rsidRPr="000E41A3" w:rsidRDefault="00135941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P-value</w:t>
            </w:r>
          </w:p>
        </w:tc>
      </w:tr>
      <w:tr w:rsidR="00135941" w:rsidRPr="000E41A3" w14:paraId="75F0DF0B" w14:textId="77777777" w:rsidTr="00457937">
        <w:trPr>
          <w:trHeight w:val="177"/>
        </w:trPr>
        <w:tc>
          <w:tcPr>
            <w:tcW w:w="2726" w:type="pct"/>
            <w:tcBorders>
              <w:bottom w:val="nil"/>
            </w:tcBorders>
          </w:tcPr>
          <w:p w14:paraId="2A5BA4AD" w14:textId="77777777" w:rsidR="00135941" w:rsidRPr="000E41A3" w:rsidRDefault="00135941" w:rsidP="0045793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</w:tc>
        <w:tc>
          <w:tcPr>
            <w:tcW w:w="683" w:type="pct"/>
            <w:tcBorders>
              <w:bottom w:val="nil"/>
            </w:tcBorders>
          </w:tcPr>
          <w:p w14:paraId="18C94E1A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bottom w:val="nil"/>
            </w:tcBorders>
          </w:tcPr>
          <w:p w14:paraId="7DC5F955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1.35 [0.45-3.99]</w:t>
            </w:r>
          </w:p>
        </w:tc>
        <w:tc>
          <w:tcPr>
            <w:tcW w:w="530" w:type="pct"/>
            <w:tcBorders>
              <w:bottom w:val="nil"/>
            </w:tcBorders>
          </w:tcPr>
          <w:p w14:paraId="2EFB336E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0.59</w:t>
            </w:r>
          </w:p>
        </w:tc>
      </w:tr>
      <w:tr w:rsidR="00135941" w:rsidRPr="000E41A3" w14:paraId="0BD681BA" w14:textId="77777777" w:rsidTr="00457937">
        <w:trPr>
          <w:trHeight w:val="206"/>
        </w:trPr>
        <w:tc>
          <w:tcPr>
            <w:tcW w:w="2726" w:type="pct"/>
            <w:tcBorders>
              <w:top w:val="nil"/>
              <w:bottom w:val="single" w:sz="4" w:space="0" w:color="auto"/>
            </w:tcBorders>
          </w:tcPr>
          <w:p w14:paraId="34A9B244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  <w:lang w:val="da-DK"/>
              </w:rPr>
            </w:pPr>
            <w:r w:rsidRPr="000E41A3">
              <w:rPr>
                <w:b/>
                <w:bCs/>
                <w:color w:val="000000" w:themeColor="text1"/>
                <w:lang w:val="da-DK"/>
              </w:rPr>
              <w:t>Age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</w:tcPr>
          <w:p w14:paraId="6D28AB8C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single" w:sz="4" w:space="0" w:color="auto"/>
            </w:tcBorders>
          </w:tcPr>
          <w:p w14:paraId="4C4A19B0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1.03 [0.96-1.11]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</w:tcPr>
          <w:p w14:paraId="51C84A48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0.46</w:t>
            </w:r>
          </w:p>
        </w:tc>
      </w:tr>
      <w:tr w:rsidR="00135941" w:rsidRPr="000E41A3" w14:paraId="10EA606A" w14:textId="77777777" w:rsidTr="00457937">
        <w:trPr>
          <w:trHeight w:val="47"/>
        </w:trPr>
        <w:tc>
          <w:tcPr>
            <w:tcW w:w="2726" w:type="pct"/>
            <w:tcBorders>
              <w:bottom w:val="nil"/>
            </w:tcBorders>
          </w:tcPr>
          <w:p w14:paraId="3F3B80AE" w14:textId="77777777" w:rsidR="00135941" w:rsidRPr="00702E03" w:rsidRDefault="00135941" w:rsidP="00457937">
            <w:pPr>
              <w:rPr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  <w:lang w:val="da-DK"/>
              </w:rPr>
              <w:t xml:space="preserve">COHORT </w:t>
            </w:r>
          </w:p>
        </w:tc>
        <w:tc>
          <w:tcPr>
            <w:tcW w:w="683" w:type="pct"/>
            <w:tcBorders>
              <w:bottom w:val="nil"/>
            </w:tcBorders>
          </w:tcPr>
          <w:p w14:paraId="68C47152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bottom w:val="nil"/>
            </w:tcBorders>
          </w:tcPr>
          <w:p w14:paraId="533C3606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1.43 [0.48-4.21]</w:t>
            </w:r>
          </w:p>
        </w:tc>
        <w:tc>
          <w:tcPr>
            <w:tcW w:w="530" w:type="pct"/>
            <w:tcBorders>
              <w:bottom w:val="nil"/>
            </w:tcBorders>
          </w:tcPr>
          <w:p w14:paraId="47F158D9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0.52</w:t>
            </w:r>
          </w:p>
        </w:tc>
      </w:tr>
      <w:tr w:rsidR="00135941" w:rsidRPr="000E41A3" w14:paraId="76CA7C26" w14:textId="77777777" w:rsidTr="00457937">
        <w:trPr>
          <w:trHeight w:val="172"/>
        </w:trPr>
        <w:tc>
          <w:tcPr>
            <w:tcW w:w="2726" w:type="pct"/>
            <w:tcBorders>
              <w:top w:val="nil"/>
              <w:bottom w:val="single" w:sz="4" w:space="0" w:color="auto"/>
            </w:tcBorders>
          </w:tcPr>
          <w:p w14:paraId="0A818559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 xml:space="preserve">No MRD 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</w:tcPr>
          <w:p w14:paraId="25E55BB5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single" w:sz="4" w:space="0" w:color="auto"/>
            </w:tcBorders>
          </w:tcPr>
          <w:p w14:paraId="6AFC0751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0.89 [0.29-2.67]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</w:tcPr>
          <w:p w14:paraId="61B1A316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0.83</w:t>
            </w:r>
          </w:p>
        </w:tc>
      </w:tr>
      <w:tr w:rsidR="00135941" w:rsidRPr="000E41A3" w14:paraId="57A550D4" w14:textId="77777777" w:rsidTr="00457937">
        <w:trPr>
          <w:trHeight w:val="187"/>
        </w:trPr>
        <w:tc>
          <w:tcPr>
            <w:tcW w:w="2726" w:type="pct"/>
            <w:tcBorders>
              <w:bottom w:val="nil"/>
            </w:tcBorders>
          </w:tcPr>
          <w:p w14:paraId="5109B2FE" w14:textId="77777777" w:rsidR="00135941" w:rsidRPr="00702E03" w:rsidRDefault="00135941" w:rsidP="00457937">
            <w:pPr>
              <w:rPr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</w:tc>
        <w:tc>
          <w:tcPr>
            <w:tcW w:w="683" w:type="pct"/>
            <w:tcBorders>
              <w:bottom w:val="nil"/>
            </w:tcBorders>
          </w:tcPr>
          <w:p w14:paraId="7C249768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bottom w:val="nil"/>
            </w:tcBorders>
          </w:tcPr>
          <w:p w14:paraId="22D16885" w14:textId="77777777" w:rsidR="00135941" w:rsidRPr="007769F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3.35 [0.60-18.8]</w:t>
            </w:r>
          </w:p>
        </w:tc>
        <w:tc>
          <w:tcPr>
            <w:tcW w:w="530" w:type="pct"/>
            <w:tcBorders>
              <w:bottom w:val="nil"/>
            </w:tcBorders>
          </w:tcPr>
          <w:p w14:paraId="56A373FB" w14:textId="77777777" w:rsidR="00135941" w:rsidRPr="007769F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0.17</w:t>
            </w:r>
          </w:p>
        </w:tc>
      </w:tr>
      <w:tr w:rsidR="00135941" w:rsidRPr="000E41A3" w14:paraId="4730F923" w14:textId="77777777" w:rsidTr="00457937">
        <w:trPr>
          <w:trHeight w:val="249"/>
        </w:trPr>
        <w:tc>
          <w:tcPr>
            <w:tcW w:w="2726" w:type="pct"/>
            <w:tcBorders>
              <w:top w:val="nil"/>
              <w:bottom w:val="single" w:sz="4" w:space="0" w:color="auto"/>
            </w:tcBorders>
          </w:tcPr>
          <w:p w14:paraId="7C1ABD63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Intermediate vs. adverse risk genetics</w:t>
            </w:r>
          </w:p>
          <w:p w14:paraId="28E08025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Favorable vs. adverse risk genetics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</w:tcPr>
          <w:p w14:paraId="47A0C49D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7DA38536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single" w:sz="4" w:space="0" w:color="auto"/>
            </w:tcBorders>
          </w:tcPr>
          <w:p w14:paraId="053A6214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3.65 [0.60-22.2]</w:t>
            </w:r>
          </w:p>
          <w:p w14:paraId="2BD15DAD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2.79 [0.29-26.8]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</w:tcPr>
          <w:p w14:paraId="1A038978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0.16</w:t>
            </w:r>
          </w:p>
          <w:p w14:paraId="14BD8F59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0.37</w:t>
            </w:r>
          </w:p>
        </w:tc>
      </w:tr>
      <w:tr w:rsidR="00135941" w:rsidRPr="000E41A3" w14:paraId="3C0CDB05" w14:textId="77777777" w:rsidTr="00457937">
        <w:trPr>
          <w:trHeight w:val="335"/>
        </w:trPr>
        <w:tc>
          <w:tcPr>
            <w:tcW w:w="2726" w:type="pct"/>
            <w:tcBorders>
              <w:top w:val="nil"/>
              <w:bottom w:val="single" w:sz="4" w:space="0" w:color="auto"/>
            </w:tcBorders>
          </w:tcPr>
          <w:p w14:paraId="3CD28935" w14:textId="77777777" w:rsidR="00135941" w:rsidRPr="000E41A3" w:rsidRDefault="00135941" w:rsidP="0045793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  <w:p w14:paraId="73E699C1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Acute GVHD I-II vs. Acute GVHD 0</w:t>
            </w:r>
          </w:p>
          <w:p w14:paraId="70A589B4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Acute GVHD III-IV vs. Acute GVHD 0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</w:tcPr>
          <w:p w14:paraId="19A0C3B1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4780162C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17DF6AA8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single" w:sz="4" w:space="0" w:color="auto"/>
            </w:tcBorders>
          </w:tcPr>
          <w:p w14:paraId="710B6C3F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1.74 [0.54-5.64]</w:t>
            </w:r>
          </w:p>
          <w:p w14:paraId="5E449616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1.53 [0.43-5.48]</w:t>
            </w:r>
          </w:p>
          <w:p w14:paraId="083EA4BC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1.84 [0.36-9.45]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</w:tcPr>
          <w:p w14:paraId="6642727F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0.36</w:t>
            </w:r>
          </w:p>
          <w:p w14:paraId="1E2F66CD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0.51</w:t>
            </w:r>
          </w:p>
          <w:p w14:paraId="1B879932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0.46</w:t>
            </w:r>
          </w:p>
        </w:tc>
      </w:tr>
      <w:tr w:rsidR="00135941" w:rsidRPr="000E41A3" w14:paraId="436AB779" w14:textId="77777777" w:rsidTr="00457937">
        <w:trPr>
          <w:trHeight w:val="335"/>
        </w:trPr>
        <w:tc>
          <w:tcPr>
            <w:tcW w:w="2726" w:type="pct"/>
            <w:tcBorders>
              <w:top w:val="nil"/>
              <w:bottom w:val="single" w:sz="4" w:space="0" w:color="auto"/>
            </w:tcBorders>
          </w:tcPr>
          <w:p w14:paraId="543B3013" w14:textId="77777777" w:rsidR="00135941" w:rsidRPr="000E41A3" w:rsidRDefault="00135941" w:rsidP="0045793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  <w:p w14:paraId="7DB019E5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Chronic GVHD limited vs. none</w:t>
            </w:r>
          </w:p>
          <w:p w14:paraId="67DE73F4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Chronic GVHD extensive vs. none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</w:tcPr>
          <w:p w14:paraId="5C134AF4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6B2F6162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13B7D847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single" w:sz="4" w:space="0" w:color="auto"/>
            </w:tcBorders>
          </w:tcPr>
          <w:p w14:paraId="0EF0D005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2.16 [0.52-8.90]</w:t>
            </w:r>
          </w:p>
          <w:p w14:paraId="47691A72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0.82 [0.15-4.41]</w:t>
            </w:r>
          </w:p>
          <w:p w14:paraId="26285DF5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1.97 [0.33-11.9]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</w:tcPr>
          <w:p w14:paraId="75A951F9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0.29</w:t>
            </w:r>
          </w:p>
          <w:p w14:paraId="7BBAB2B7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0.81</w:t>
            </w:r>
          </w:p>
          <w:p w14:paraId="44672106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0.46</w:t>
            </w:r>
          </w:p>
        </w:tc>
      </w:tr>
      <w:tr w:rsidR="00135941" w:rsidRPr="000E41A3" w14:paraId="6919B172" w14:textId="77777777" w:rsidTr="00457937">
        <w:trPr>
          <w:trHeight w:val="44"/>
        </w:trPr>
        <w:tc>
          <w:tcPr>
            <w:tcW w:w="2726" w:type="pct"/>
            <w:tcBorders>
              <w:bottom w:val="nil"/>
            </w:tcBorders>
          </w:tcPr>
          <w:p w14:paraId="700D840E" w14:textId="77777777" w:rsidR="00135941" w:rsidRPr="007769F3" w:rsidRDefault="00135941" w:rsidP="00457937">
            <w:pPr>
              <w:rPr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</w:tc>
        <w:tc>
          <w:tcPr>
            <w:tcW w:w="683" w:type="pct"/>
            <w:tcBorders>
              <w:bottom w:val="nil"/>
            </w:tcBorders>
          </w:tcPr>
          <w:p w14:paraId="51900AE4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bottom w:val="nil"/>
            </w:tcBorders>
          </w:tcPr>
          <w:p w14:paraId="1DFEA5C5" w14:textId="77777777" w:rsidR="00135941" w:rsidRPr="007769F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1.46 [0.50-4.29]</w:t>
            </w:r>
          </w:p>
        </w:tc>
        <w:tc>
          <w:tcPr>
            <w:tcW w:w="530" w:type="pct"/>
            <w:tcBorders>
              <w:bottom w:val="nil"/>
            </w:tcBorders>
          </w:tcPr>
          <w:p w14:paraId="4D2A4158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0.50</w:t>
            </w:r>
          </w:p>
        </w:tc>
      </w:tr>
      <w:tr w:rsidR="00135941" w:rsidRPr="000E41A3" w14:paraId="190C432D" w14:textId="77777777" w:rsidTr="00457937">
        <w:trPr>
          <w:trHeight w:val="197"/>
        </w:trPr>
        <w:tc>
          <w:tcPr>
            <w:tcW w:w="2726" w:type="pct"/>
            <w:tcBorders>
              <w:top w:val="nil"/>
              <w:bottom w:val="nil"/>
            </w:tcBorders>
          </w:tcPr>
          <w:p w14:paraId="19B95282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 xml:space="preserve">HCT-CI </w:t>
            </w:r>
            <w:r w:rsidRPr="000E41A3">
              <w:rPr>
                <w:rFonts w:asciiTheme="majorBidi" w:hAnsiTheme="majorBidi" w:cstheme="majorBidi"/>
                <w:color w:val="000000" w:themeColor="text1"/>
                <w:u w:val="single"/>
              </w:rPr>
              <w:t xml:space="preserve">&gt; </w:t>
            </w:r>
            <w:r w:rsidRPr="000E41A3">
              <w:rPr>
                <w:rFonts w:asciiTheme="majorBidi" w:hAnsiTheme="majorBidi" w:cstheme="majorBidi"/>
                <w:color w:val="000000" w:themeColor="text1"/>
              </w:rPr>
              <w:t>3 High risk</w:t>
            </w:r>
          </w:p>
        </w:tc>
        <w:tc>
          <w:tcPr>
            <w:tcW w:w="683" w:type="pct"/>
            <w:tcBorders>
              <w:top w:val="nil"/>
              <w:bottom w:val="nil"/>
            </w:tcBorders>
          </w:tcPr>
          <w:p w14:paraId="759F14DF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nil"/>
            </w:tcBorders>
          </w:tcPr>
          <w:p w14:paraId="72F0B26F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0.88 [0.24-3.16]</w:t>
            </w:r>
          </w:p>
        </w:tc>
        <w:tc>
          <w:tcPr>
            <w:tcW w:w="530" w:type="pct"/>
            <w:tcBorders>
              <w:top w:val="nil"/>
              <w:bottom w:val="nil"/>
            </w:tcBorders>
          </w:tcPr>
          <w:p w14:paraId="16FA3D3E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0.84</w:t>
            </w:r>
          </w:p>
        </w:tc>
      </w:tr>
      <w:tr w:rsidR="00135941" w:rsidRPr="000E41A3" w14:paraId="527254D3" w14:textId="77777777" w:rsidTr="00457937">
        <w:trPr>
          <w:trHeight w:val="197"/>
        </w:trPr>
        <w:tc>
          <w:tcPr>
            <w:tcW w:w="2726" w:type="pct"/>
            <w:tcBorders>
              <w:top w:val="nil"/>
              <w:bottom w:val="nil"/>
            </w:tcBorders>
          </w:tcPr>
          <w:p w14:paraId="0679CC0D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83" w:type="pct"/>
            <w:tcBorders>
              <w:top w:val="nil"/>
              <w:bottom w:val="nil"/>
            </w:tcBorders>
          </w:tcPr>
          <w:p w14:paraId="0995B2C4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061" w:type="pct"/>
            <w:tcBorders>
              <w:top w:val="nil"/>
              <w:bottom w:val="nil"/>
            </w:tcBorders>
          </w:tcPr>
          <w:p w14:paraId="4EF7CAD7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</w:tcPr>
          <w:p w14:paraId="132D7871" w14:textId="77777777" w:rsidR="00135941" w:rsidRPr="000E41A3" w:rsidRDefault="00135941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35941" w:rsidRPr="000E41A3" w14:paraId="670F0425" w14:textId="77777777" w:rsidTr="00457937">
        <w:trPr>
          <w:trHeight w:val="50"/>
        </w:trPr>
        <w:tc>
          <w:tcPr>
            <w:tcW w:w="2726" w:type="pct"/>
            <w:tcBorders>
              <w:top w:val="nil"/>
            </w:tcBorders>
          </w:tcPr>
          <w:p w14:paraId="072D1153" w14:textId="77777777" w:rsidR="00135941" w:rsidRPr="000E41A3" w:rsidRDefault="00135941" w:rsidP="004579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3" w:type="pct"/>
            <w:tcBorders>
              <w:top w:val="nil"/>
            </w:tcBorders>
          </w:tcPr>
          <w:p w14:paraId="66FE5B7E" w14:textId="77777777" w:rsidR="00135941" w:rsidRPr="000E41A3" w:rsidRDefault="00135941" w:rsidP="004579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61" w:type="pct"/>
            <w:tcBorders>
              <w:top w:val="nil"/>
            </w:tcBorders>
          </w:tcPr>
          <w:p w14:paraId="4708CF68" w14:textId="77777777" w:rsidR="00135941" w:rsidRPr="000E41A3" w:rsidRDefault="00135941" w:rsidP="004579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30" w:type="pct"/>
            <w:tcBorders>
              <w:top w:val="nil"/>
            </w:tcBorders>
          </w:tcPr>
          <w:p w14:paraId="3809B26E" w14:textId="77777777" w:rsidR="00135941" w:rsidRPr="000E41A3" w:rsidRDefault="00135941" w:rsidP="00457937">
            <w:pPr>
              <w:rPr>
                <w:rFonts w:asciiTheme="majorBidi" w:hAnsiTheme="majorBidi" w:cstheme="majorBidi"/>
              </w:rPr>
            </w:pPr>
          </w:p>
        </w:tc>
      </w:tr>
    </w:tbl>
    <w:p w14:paraId="461EE5A5" w14:textId="77777777" w:rsidR="00135941" w:rsidRPr="000E41A3" w:rsidRDefault="00135941" w:rsidP="00135941">
      <w:pPr>
        <w:rPr>
          <w:color w:val="000000" w:themeColor="text1"/>
        </w:rPr>
      </w:pPr>
    </w:p>
    <w:p w14:paraId="2A5CBB7E" w14:textId="77777777" w:rsidR="00135941" w:rsidRPr="000E41A3" w:rsidRDefault="00135941" w:rsidP="00135941">
      <w:pPr>
        <w:rPr>
          <w:color w:val="000000" w:themeColor="text1"/>
        </w:rPr>
      </w:pPr>
    </w:p>
    <w:p w14:paraId="00F71179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F3E"/>
    <w:rsid w:val="00135941"/>
    <w:rsid w:val="004244E6"/>
    <w:rsid w:val="00655F3E"/>
    <w:rsid w:val="0067415F"/>
    <w:rsid w:val="00A9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6F88F9-5E8F-4988-999A-F558B9E1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F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F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F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F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F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F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F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F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F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F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F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F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F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F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F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F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F3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35941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2026-07-21T07:15:00Z</dcterms:created>
  <dcterms:modified xsi:type="dcterms:W3CDTF">2026-07-21T07:15:00Z</dcterms:modified>
</cp:coreProperties>
</file>