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34B49" w14:textId="77777777" w:rsidR="00455820" w:rsidRPr="000328F5" w:rsidRDefault="00455820" w:rsidP="00455820">
      <w:pPr>
        <w:widowControl w:val="0"/>
        <w:adjustRightInd w:val="0"/>
        <w:snapToGrid w:val="0"/>
        <w:rPr>
          <w:rFonts w:ascii="Times New Roman" w:hAnsi="Times New Roman" w:cs="Times New Roman"/>
          <w:b/>
          <w:bCs/>
        </w:rPr>
      </w:pPr>
    </w:p>
    <w:p w14:paraId="079C2982" w14:textId="77777777" w:rsidR="00455820" w:rsidRPr="000328F5" w:rsidRDefault="00455820" w:rsidP="00455820">
      <w:pPr>
        <w:widowControl w:val="0"/>
        <w:adjustRightInd w:val="0"/>
        <w:snapToGrid w:val="0"/>
        <w:rPr>
          <w:rFonts w:ascii="Times New Roman" w:hAnsi="Times New Roman" w:cs="Times New Roman"/>
          <w:cs/>
        </w:rPr>
      </w:pPr>
      <w:r w:rsidRPr="000328F5">
        <w:rPr>
          <w:rFonts w:ascii="Times New Roman" w:hAnsi="Times New Roman" w:cs="Times New Roman"/>
          <w:b/>
          <w:bCs/>
        </w:rPr>
        <w:t>S</w:t>
      </w:r>
      <w:r>
        <w:rPr>
          <w:rFonts w:ascii="Times New Roman" w:hAnsi="Times New Roman" w:cs="Times New Roman" w:hint="eastAsia"/>
          <w:b/>
          <w:bCs/>
          <w:lang w:eastAsia="zh-CN"/>
        </w:rPr>
        <w:t>uppl 6</w:t>
      </w:r>
      <w:r w:rsidRPr="000328F5">
        <w:rPr>
          <w:rFonts w:ascii="Times New Roman" w:hAnsi="Times New Roman" w:cs="Times New Roman"/>
          <w:b/>
          <w:bCs/>
        </w:rPr>
        <w:t>.</w:t>
      </w:r>
      <w:r w:rsidRPr="000328F5">
        <w:rPr>
          <w:rFonts w:ascii="Times New Roman" w:hAnsi="Times New Roman" w:cs="Times New Roman"/>
        </w:rPr>
        <w:t xml:space="preserve"> Stratified multivariable Cox proportional hazards analysis for overall survival (OS). The model was stratified by era of diagnosis (2006–2010, 2011–2015, 2016–2020, and 2021–2023) to account for potential variation in baseline hazards across treatment eras. </w:t>
      </w:r>
    </w:p>
    <w:tbl>
      <w:tblPr>
        <w:tblStyle w:val="TableGrid"/>
        <w:tblW w:w="0" w:type="auto"/>
        <w:tblLook w:val="04A0" w:firstRow="1" w:lastRow="0" w:firstColumn="1" w:lastColumn="0" w:noHBand="0" w:noVBand="1"/>
      </w:tblPr>
      <w:tblGrid>
        <w:gridCol w:w="4650"/>
        <w:gridCol w:w="2512"/>
        <w:gridCol w:w="1134"/>
      </w:tblGrid>
      <w:tr w:rsidR="00455820" w:rsidRPr="000328F5" w14:paraId="3384E01B" w14:textId="77777777" w:rsidTr="00BA76D9">
        <w:tc>
          <w:tcPr>
            <w:tcW w:w="5125" w:type="dxa"/>
            <w:vAlign w:val="center"/>
            <w:hideMark/>
          </w:tcPr>
          <w:p w14:paraId="0CF1089E" w14:textId="77777777" w:rsidR="00455820" w:rsidRPr="000328F5" w:rsidRDefault="00455820" w:rsidP="00BA76D9">
            <w:pPr>
              <w:widowControl w:val="0"/>
              <w:adjustRightInd w:val="0"/>
              <w:snapToGrid w:val="0"/>
              <w:rPr>
                <w:rFonts w:ascii="Times New Roman" w:hAnsi="Times New Roman" w:cs="Times New Roman"/>
                <w:b/>
                <w:bCs/>
                <w:sz w:val="24"/>
                <w:szCs w:val="24"/>
              </w:rPr>
            </w:pPr>
            <w:r w:rsidRPr="000328F5">
              <w:rPr>
                <w:rFonts w:ascii="Times New Roman" w:hAnsi="Times New Roman" w:cs="Times New Roman"/>
                <w:b/>
                <w:bCs/>
                <w:sz w:val="24"/>
                <w:szCs w:val="24"/>
              </w:rPr>
              <w:t>Variable</w:t>
            </w:r>
          </w:p>
        </w:tc>
        <w:tc>
          <w:tcPr>
            <w:tcW w:w="2700" w:type="dxa"/>
            <w:vAlign w:val="center"/>
            <w:hideMark/>
          </w:tcPr>
          <w:p w14:paraId="15E44535" w14:textId="77777777" w:rsidR="00455820" w:rsidRPr="000328F5" w:rsidRDefault="00455820" w:rsidP="00BA76D9">
            <w:pPr>
              <w:widowControl w:val="0"/>
              <w:adjustRightInd w:val="0"/>
              <w:snapToGrid w:val="0"/>
              <w:rPr>
                <w:rFonts w:ascii="Times New Roman" w:hAnsi="Times New Roman" w:cs="Times New Roman"/>
                <w:b/>
                <w:bCs/>
                <w:sz w:val="24"/>
                <w:szCs w:val="24"/>
              </w:rPr>
            </w:pPr>
            <w:r w:rsidRPr="000328F5">
              <w:rPr>
                <w:rFonts w:ascii="Times New Roman" w:hAnsi="Times New Roman" w:cs="Times New Roman"/>
                <w:b/>
                <w:bCs/>
                <w:sz w:val="24"/>
                <w:szCs w:val="24"/>
              </w:rPr>
              <w:t>Adjusted HR (95% CI)</w:t>
            </w:r>
          </w:p>
        </w:tc>
        <w:tc>
          <w:tcPr>
            <w:tcW w:w="1194" w:type="dxa"/>
            <w:vAlign w:val="center"/>
            <w:hideMark/>
          </w:tcPr>
          <w:p w14:paraId="713FB162" w14:textId="77777777" w:rsidR="00455820" w:rsidRPr="000328F5" w:rsidRDefault="00455820" w:rsidP="00BA76D9">
            <w:pPr>
              <w:widowControl w:val="0"/>
              <w:adjustRightInd w:val="0"/>
              <w:snapToGrid w:val="0"/>
              <w:rPr>
                <w:rFonts w:ascii="Times New Roman" w:hAnsi="Times New Roman" w:cs="Times New Roman"/>
                <w:b/>
                <w:bCs/>
                <w:sz w:val="24"/>
                <w:szCs w:val="24"/>
              </w:rPr>
            </w:pPr>
            <w:r w:rsidRPr="000328F5">
              <w:rPr>
                <w:rFonts w:ascii="Times New Roman" w:hAnsi="Times New Roman" w:cs="Times New Roman"/>
                <w:b/>
                <w:bCs/>
                <w:i/>
                <w:iCs/>
                <w:sz w:val="24"/>
                <w:szCs w:val="24"/>
              </w:rPr>
              <w:t>P</w:t>
            </w:r>
            <w:r w:rsidRPr="000328F5">
              <w:rPr>
                <w:rFonts w:ascii="Times New Roman" w:hAnsi="Times New Roman" w:cs="Times New Roman"/>
                <w:b/>
                <w:bCs/>
                <w:sz w:val="24"/>
                <w:szCs w:val="24"/>
              </w:rPr>
              <w:t xml:space="preserve"> value</w:t>
            </w:r>
          </w:p>
        </w:tc>
      </w:tr>
      <w:tr w:rsidR="00455820" w:rsidRPr="000328F5" w14:paraId="17BB5E8E" w14:textId="77777777" w:rsidTr="00BA76D9">
        <w:tc>
          <w:tcPr>
            <w:tcW w:w="5125" w:type="dxa"/>
            <w:hideMark/>
          </w:tcPr>
          <w:p w14:paraId="0B964E0B" w14:textId="77777777" w:rsidR="00455820" w:rsidRPr="000328F5" w:rsidRDefault="00455820" w:rsidP="00BA76D9">
            <w:pPr>
              <w:widowControl w:val="0"/>
              <w:adjustRightInd w:val="0"/>
              <w:snapToGrid w:val="0"/>
              <w:rPr>
                <w:rFonts w:ascii="Times New Roman" w:hAnsi="Times New Roman" w:cs="Times New Roman"/>
                <w:b/>
                <w:bCs/>
                <w:sz w:val="24"/>
                <w:szCs w:val="24"/>
              </w:rPr>
            </w:pPr>
            <w:r w:rsidRPr="000328F5">
              <w:rPr>
                <w:rFonts w:ascii="Times New Roman" w:hAnsi="Times New Roman" w:cs="Times New Roman"/>
                <w:b/>
                <w:bCs/>
                <w:sz w:val="24"/>
                <w:szCs w:val="24"/>
              </w:rPr>
              <w:t>Study groups (CrCl-based)</w:t>
            </w:r>
          </w:p>
        </w:tc>
        <w:tc>
          <w:tcPr>
            <w:tcW w:w="2700" w:type="dxa"/>
            <w:hideMark/>
          </w:tcPr>
          <w:p w14:paraId="203CB47F" w14:textId="77777777" w:rsidR="00455820" w:rsidRPr="000328F5" w:rsidRDefault="00455820" w:rsidP="00BA76D9">
            <w:pPr>
              <w:widowControl w:val="0"/>
              <w:adjustRightInd w:val="0"/>
              <w:snapToGrid w:val="0"/>
              <w:rPr>
                <w:rFonts w:ascii="Times New Roman" w:hAnsi="Times New Roman" w:cs="Times New Roman"/>
                <w:sz w:val="24"/>
                <w:szCs w:val="24"/>
              </w:rPr>
            </w:pPr>
          </w:p>
        </w:tc>
        <w:tc>
          <w:tcPr>
            <w:tcW w:w="1194" w:type="dxa"/>
            <w:hideMark/>
          </w:tcPr>
          <w:p w14:paraId="53E51DF7" w14:textId="77777777" w:rsidR="00455820" w:rsidRPr="000328F5" w:rsidRDefault="00455820" w:rsidP="00BA76D9">
            <w:pPr>
              <w:widowControl w:val="0"/>
              <w:adjustRightInd w:val="0"/>
              <w:snapToGrid w:val="0"/>
              <w:rPr>
                <w:rFonts w:ascii="Times New Roman" w:hAnsi="Times New Roman" w:cs="Times New Roman"/>
                <w:sz w:val="24"/>
                <w:szCs w:val="24"/>
              </w:rPr>
            </w:pPr>
          </w:p>
        </w:tc>
      </w:tr>
      <w:tr w:rsidR="00455820" w:rsidRPr="000328F5" w14:paraId="6C9DC568" w14:textId="77777777" w:rsidTr="00BA76D9">
        <w:tc>
          <w:tcPr>
            <w:tcW w:w="5125" w:type="dxa"/>
            <w:hideMark/>
          </w:tcPr>
          <w:p w14:paraId="0A272E8D" w14:textId="77777777" w:rsidR="00455820" w:rsidRPr="000328F5" w:rsidRDefault="00455820" w:rsidP="00BA76D9">
            <w:pPr>
              <w:widowControl w:val="0"/>
              <w:adjustRightInd w:val="0"/>
              <w:snapToGrid w:val="0"/>
              <w:rPr>
                <w:rFonts w:ascii="Times New Roman" w:hAnsi="Times New Roman" w:cs="Times New Roman"/>
                <w:sz w:val="24"/>
                <w:szCs w:val="24"/>
              </w:rPr>
            </w:pPr>
            <w:r w:rsidRPr="000328F5">
              <w:rPr>
                <w:rFonts w:ascii="Times New Roman" w:hAnsi="Times New Roman" w:cs="Times New Roman"/>
                <w:sz w:val="24"/>
                <w:szCs w:val="24"/>
              </w:rPr>
              <w:t>Group A (Low β2M)</w:t>
            </w:r>
          </w:p>
        </w:tc>
        <w:tc>
          <w:tcPr>
            <w:tcW w:w="2700" w:type="dxa"/>
            <w:hideMark/>
          </w:tcPr>
          <w:p w14:paraId="1C319D35" w14:textId="77777777" w:rsidR="00455820" w:rsidRPr="000328F5" w:rsidRDefault="00455820" w:rsidP="00BA76D9">
            <w:pPr>
              <w:widowControl w:val="0"/>
              <w:adjustRightInd w:val="0"/>
              <w:snapToGrid w:val="0"/>
              <w:rPr>
                <w:rFonts w:ascii="Times New Roman" w:hAnsi="Times New Roman" w:cs="Times New Roman"/>
                <w:sz w:val="24"/>
                <w:szCs w:val="24"/>
              </w:rPr>
            </w:pPr>
            <w:r w:rsidRPr="000328F5">
              <w:rPr>
                <w:rFonts w:ascii="Times New Roman" w:hAnsi="Times New Roman" w:cs="Times New Roman"/>
                <w:sz w:val="24"/>
                <w:szCs w:val="24"/>
              </w:rPr>
              <w:t>1.00 (Reference)</w:t>
            </w:r>
          </w:p>
        </w:tc>
        <w:tc>
          <w:tcPr>
            <w:tcW w:w="1194" w:type="dxa"/>
            <w:hideMark/>
          </w:tcPr>
          <w:p w14:paraId="3668C6C2" w14:textId="77777777" w:rsidR="00455820" w:rsidRPr="000328F5" w:rsidRDefault="00455820" w:rsidP="00BA76D9">
            <w:pPr>
              <w:widowControl w:val="0"/>
              <w:adjustRightInd w:val="0"/>
              <w:snapToGrid w:val="0"/>
              <w:rPr>
                <w:rFonts w:ascii="Times New Roman" w:hAnsi="Times New Roman" w:cs="Times New Roman"/>
                <w:sz w:val="24"/>
                <w:szCs w:val="24"/>
              </w:rPr>
            </w:pPr>
            <w:r w:rsidRPr="000328F5">
              <w:rPr>
                <w:rFonts w:ascii="Times New Roman" w:hAnsi="Times New Roman" w:cs="Times New Roman"/>
                <w:sz w:val="24"/>
                <w:szCs w:val="24"/>
              </w:rPr>
              <w:t>—</w:t>
            </w:r>
          </w:p>
        </w:tc>
      </w:tr>
      <w:tr w:rsidR="00455820" w:rsidRPr="000328F5" w14:paraId="0FA8B3B7" w14:textId="77777777" w:rsidTr="00BA76D9">
        <w:tc>
          <w:tcPr>
            <w:tcW w:w="5125" w:type="dxa"/>
            <w:hideMark/>
          </w:tcPr>
          <w:p w14:paraId="7BAB2B2D" w14:textId="77777777" w:rsidR="00455820" w:rsidRPr="000328F5" w:rsidRDefault="00455820" w:rsidP="00BA76D9">
            <w:pPr>
              <w:widowControl w:val="0"/>
              <w:adjustRightInd w:val="0"/>
              <w:snapToGrid w:val="0"/>
              <w:rPr>
                <w:rFonts w:ascii="Times New Roman" w:hAnsi="Times New Roman" w:cs="Times New Roman"/>
                <w:sz w:val="24"/>
                <w:szCs w:val="24"/>
              </w:rPr>
            </w:pPr>
            <w:r w:rsidRPr="000328F5">
              <w:rPr>
                <w:rFonts w:ascii="Times New Roman" w:hAnsi="Times New Roman" w:cs="Times New Roman"/>
                <w:sz w:val="24"/>
                <w:szCs w:val="24"/>
              </w:rPr>
              <w:t>Group B (High β2M, CrCl ≥60 mL/min)</w:t>
            </w:r>
          </w:p>
        </w:tc>
        <w:tc>
          <w:tcPr>
            <w:tcW w:w="2700" w:type="dxa"/>
            <w:hideMark/>
          </w:tcPr>
          <w:p w14:paraId="70A45C0C" w14:textId="77777777" w:rsidR="00455820" w:rsidRPr="000328F5" w:rsidRDefault="00455820" w:rsidP="00BA76D9">
            <w:pPr>
              <w:widowControl w:val="0"/>
              <w:adjustRightInd w:val="0"/>
              <w:snapToGrid w:val="0"/>
              <w:rPr>
                <w:rFonts w:ascii="Times New Roman" w:hAnsi="Times New Roman" w:cs="Times New Roman"/>
                <w:sz w:val="24"/>
                <w:szCs w:val="24"/>
              </w:rPr>
            </w:pPr>
            <w:r w:rsidRPr="000328F5">
              <w:rPr>
                <w:rFonts w:ascii="Times New Roman" w:hAnsi="Times New Roman" w:cs="Times New Roman"/>
                <w:sz w:val="24"/>
                <w:szCs w:val="24"/>
              </w:rPr>
              <w:t>2.67 (1.17–6.07)</w:t>
            </w:r>
          </w:p>
        </w:tc>
        <w:tc>
          <w:tcPr>
            <w:tcW w:w="1194" w:type="dxa"/>
            <w:hideMark/>
          </w:tcPr>
          <w:p w14:paraId="6C6C3E8E" w14:textId="77777777" w:rsidR="00455820" w:rsidRPr="000328F5" w:rsidRDefault="00455820" w:rsidP="00BA76D9">
            <w:pPr>
              <w:widowControl w:val="0"/>
              <w:adjustRightInd w:val="0"/>
              <w:snapToGrid w:val="0"/>
              <w:rPr>
                <w:rFonts w:ascii="Times New Roman" w:hAnsi="Times New Roman" w:cs="Times New Roman"/>
                <w:sz w:val="24"/>
                <w:szCs w:val="24"/>
              </w:rPr>
            </w:pPr>
            <w:r w:rsidRPr="000328F5">
              <w:rPr>
                <w:rFonts w:ascii="Times New Roman" w:hAnsi="Times New Roman" w:cs="Times New Roman"/>
                <w:sz w:val="24"/>
                <w:szCs w:val="24"/>
              </w:rPr>
              <w:t>0.019</w:t>
            </w:r>
          </w:p>
        </w:tc>
      </w:tr>
      <w:tr w:rsidR="00455820" w:rsidRPr="000328F5" w14:paraId="62D82267" w14:textId="77777777" w:rsidTr="00BA76D9">
        <w:tc>
          <w:tcPr>
            <w:tcW w:w="5125" w:type="dxa"/>
            <w:hideMark/>
          </w:tcPr>
          <w:p w14:paraId="56033D22" w14:textId="77777777" w:rsidR="00455820" w:rsidRPr="000328F5" w:rsidRDefault="00455820" w:rsidP="00BA76D9">
            <w:pPr>
              <w:widowControl w:val="0"/>
              <w:adjustRightInd w:val="0"/>
              <w:snapToGrid w:val="0"/>
              <w:rPr>
                <w:rFonts w:ascii="Times New Roman" w:hAnsi="Times New Roman" w:cs="Times New Roman"/>
                <w:sz w:val="24"/>
                <w:szCs w:val="24"/>
              </w:rPr>
            </w:pPr>
            <w:r w:rsidRPr="000328F5">
              <w:rPr>
                <w:rFonts w:ascii="Times New Roman" w:hAnsi="Times New Roman" w:cs="Times New Roman"/>
                <w:sz w:val="24"/>
                <w:szCs w:val="24"/>
              </w:rPr>
              <w:t>Group C (High β2M, CrCl &lt;60 mL/min)</w:t>
            </w:r>
          </w:p>
        </w:tc>
        <w:tc>
          <w:tcPr>
            <w:tcW w:w="2700" w:type="dxa"/>
            <w:hideMark/>
          </w:tcPr>
          <w:p w14:paraId="554D3065" w14:textId="77777777" w:rsidR="00455820" w:rsidRPr="000328F5" w:rsidRDefault="00455820" w:rsidP="00BA76D9">
            <w:pPr>
              <w:widowControl w:val="0"/>
              <w:adjustRightInd w:val="0"/>
              <w:snapToGrid w:val="0"/>
              <w:rPr>
                <w:rFonts w:ascii="Times New Roman" w:hAnsi="Times New Roman" w:cs="Times New Roman"/>
                <w:sz w:val="24"/>
                <w:szCs w:val="24"/>
              </w:rPr>
            </w:pPr>
            <w:r w:rsidRPr="000328F5">
              <w:rPr>
                <w:rFonts w:ascii="Times New Roman" w:hAnsi="Times New Roman" w:cs="Times New Roman"/>
                <w:sz w:val="24"/>
                <w:szCs w:val="24"/>
              </w:rPr>
              <w:t>1.74 (1.08–2.79)</w:t>
            </w:r>
          </w:p>
        </w:tc>
        <w:tc>
          <w:tcPr>
            <w:tcW w:w="1194" w:type="dxa"/>
            <w:hideMark/>
          </w:tcPr>
          <w:p w14:paraId="0D4673E0" w14:textId="77777777" w:rsidR="00455820" w:rsidRPr="000328F5" w:rsidRDefault="00455820" w:rsidP="00BA76D9">
            <w:pPr>
              <w:widowControl w:val="0"/>
              <w:adjustRightInd w:val="0"/>
              <w:snapToGrid w:val="0"/>
              <w:rPr>
                <w:rFonts w:ascii="Times New Roman" w:hAnsi="Times New Roman" w:cs="Times New Roman"/>
                <w:sz w:val="24"/>
                <w:szCs w:val="24"/>
              </w:rPr>
            </w:pPr>
            <w:r w:rsidRPr="000328F5">
              <w:rPr>
                <w:rFonts w:ascii="Times New Roman" w:hAnsi="Times New Roman" w:cs="Times New Roman"/>
                <w:sz w:val="24"/>
                <w:szCs w:val="24"/>
              </w:rPr>
              <w:t>0.022</w:t>
            </w:r>
          </w:p>
        </w:tc>
      </w:tr>
      <w:tr w:rsidR="00455820" w:rsidRPr="000328F5" w14:paraId="62D7EBBE" w14:textId="77777777" w:rsidTr="00BA76D9">
        <w:tc>
          <w:tcPr>
            <w:tcW w:w="5125" w:type="dxa"/>
            <w:hideMark/>
          </w:tcPr>
          <w:p w14:paraId="18ACB4F1" w14:textId="77777777" w:rsidR="00455820" w:rsidRPr="000328F5" w:rsidRDefault="00455820" w:rsidP="00BA76D9">
            <w:pPr>
              <w:widowControl w:val="0"/>
              <w:adjustRightInd w:val="0"/>
              <w:snapToGrid w:val="0"/>
              <w:rPr>
                <w:rFonts w:ascii="Times New Roman" w:hAnsi="Times New Roman" w:cs="Times New Roman"/>
                <w:b/>
                <w:bCs/>
                <w:sz w:val="24"/>
                <w:szCs w:val="24"/>
              </w:rPr>
            </w:pPr>
            <w:r w:rsidRPr="000328F5">
              <w:rPr>
                <w:rFonts w:ascii="Times New Roman" w:hAnsi="Times New Roman" w:cs="Times New Roman"/>
                <w:b/>
                <w:bCs/>
                <w:sz w:val="24"/>
                <w:szCs w:val="24"/>
              </w:rPr>
              <w:t>Patient characteristics</w:t>
            </w:r>
          </w:p>
        </w:tc>
        <w:tc>
          <w:tcPr>
            <w:tcW w:w="2700" w:type="dxa"/>
            <w:hideMark/>
          </w:tcPr>
          <w:p w14:paraId="34A64E21" w14:textId="77777777" w:rsidR="00455820" w:rsidRPr="000328F5" w:rsidRDefault="00455820" w:rsidP="00BA76D9">
            <w:pPr>
              <w:widowControl w:val="0"/>
              <w:adjustRightInd w:val="0"/>
              <w:snapToGrid w:val="0"/>
              <w:rPr>
                <w:rFonts w:ascii="Times New Roman" w:hAnsi="Times New Roman" w:cs="Times New Roman"/>
                <w:sz w:val="24"/>
                <w:szCs w:val="24"/>
              </w:rPr>
            </w:pPr>
          </w:p>
        </w:tc>
        <w:tc>
          <w:tcPr>
            <w:tcW w:w="1194" w:type="dxa"/>
            <w:hideMark/>
          </w:tcPr>
          <w:p w14:paraId="6B1013E3" w14:textId="77777777" w:rsidR="00455820" w:rsidRPr="000328F5" w:rsidRDefault="00455820" w:rsidP="00BA76D9">
            <w:pPr>
              <w:widowControl w:val="0"/>
              <w:adjustRightInd w:val="0"/>
              <w:snapToGrid w:val="0"/>
              <w:rPr>
                <w:rFonts w:ascii="Times New Roman" w:hAnsi="Times New Roman" w:cs="Times New Roman"/>
                <w:sz w:val="24"/>
                <w:szCs w:val="24"/>
              </w:rPr>
            </w:pPr>
          </w:p>
        </w:tc>
      </w:tr>
      <w:tr w:rsidR="00455820" w:rsidRPr="000328F5" w14:paraId="0BEE59C0" w14:textId="77777777" w:rsidTr="00BA76D9">
        <w:tc>
          <w:tcPr>
            <w:tcW w:w="5125" w:type="dxa"/>
            <w:hideMark/>
          </w:tcPr>
          <w:p w14:paraId="107BB0AB" w14:textId="77777777" w:rsidR="00455820" w:rsidRPr="000328F5" w:rsidRDefault="00455820" w:rsidP="00BA76D9">
            <w:pPr>
              <w:widowControl w:val="0"/>
              <w:adjustRightInd w:val="0"/>
              <w:snapToGrid w:val="0"/>
              <w:rPr>
                <w:rFonts w:ascii="Times New Roman" w:hAnsi="Times New Roman" w:cs="Times New Roman"/>
                <w:sz w:val="24"/>
                <w:szCs w:val="24"/>
              </w:rPr>
            </w:pPr>
            <w:r w:rsidRPr="000328F5">
              <w:rPr>
                <w:rFonts w:ascii="Times New Roman" w:hAnsi="Times New Roman" w:cs="Times New Roman"/>
                <w:sz w:val="24"/>
                <w:szCs w:val="24"/>
              </w:rPr>
              <w:t> </w:t>
            </w:r>
            <w:r w:rsidRPr="000328F5">
              <w:rPr>
                <w:rFonts w:ascii="Times New Roman" w:hAnsi="Times New Roman" w:cs="Times New Roman"/>
                <w:sz w:val="24"/>
                <w:szCs w:val="24"/>
              </w:rPr>
              <w:t>Age (per year increase)</w:t>
            </w:r>
          </w:p>
        </w:tc>
        <w:tc>
          <w:tcPr>
            <w:tcW w:w="2700" w:type="dxa"/>
            <w:hideMark/>
          </w:tcPr>
          <w:p w14:paraId="74353F06" w14:textId="77777777" w:rsidR="00455820" w:rsidRPr="000328F5" w:rsidRDefault="00455820" w:rsidP="00BA76D9">
            <w:pPr>
              <w:widowControl w:val="0"/>
              <w:adjustRightInd w:val="0"/>
              <w:snapToGrid w:val="0"/>
              <w:rPr>
                <w:rFonts w:ascii="Times New Roman" w:hAnsi="Times New Roman" w:cs="Times New Roman"/>
                <w:sz w:val="24"/>
                <w:szCs w:val="24"/>
              </w:rPr>
            </w:pPr>
            <w:r w:rsidRPr="000328F5">
              <w:rPr>
                <w:rFonts w:ascii="Times New Roman" w:hAnsi="Times New Roman" w:cs="Times New Roman"/>
                <w:sz w:val="24"/>
                <w:szCs w:val="24"/>
              </w:rPr>
              <w:t>1.00 (0.98–1.02)</w:t>
            </w:r>
          </w:p>
        </w:tc>
        <w:tc>
          <w:tcPr>
            <w:tcW w:w="1194" w:type="dxa"/>
            <w:hideMark/>
          </w:tcPr>
          <w:p w14:paraId="39BFBE25" w14:textId="77777777" w:rsidR="00455820" w:rsidRPr="000328F5" w:rsidRDefault="00455820" w:rsidP="00BA76D9">
            <w:pPr>
              <w:widowControl w:val="0"/>
              <w:adjustRightInd w:val="0"/>
              <w:snapToGrid w:val="0"/>
              <w:rPr>
                <w:rFonts w:ascii="Times New Roman" w:hAnsi="Times New Roman" w:cs="Times New Roman"/>
                <w:sz w:val="24"/>
                <w:szCs w:val="24"/>
              </w:rPr>
            </w:pPr>
            <w:r w:rsidRPr="000328F5">
              <w:rPr>
                <w:rFonts w:ascii="Times New Roman" w:hAnsi="Times New Roman" w:cs="Times New Roman"/>
                <w:sz w:val="24"/>
                <w:szCs w:val="24"/>
              </w:rPr>
              <w:t>0.992</w:t>
            </w:r>
          </w:p>
        </w:tc>
      </w:tr>
      <w:tr w:rsidR="00455820" w:rsidRPr="000328F5" w14:paraId="091F0023" w14:textId="77777777" w:rsidTr="00BA76D9">
        <w:tc>
          <w:tcPr>
            <w:tcW w:w="5125" w:type="dxa"/>
            <w:hideMark/>
          </w:tcPr>
          <w:p w14:paraId="51F5D917" w14:textId="77777777" w:rsidR="00455820" w:rsidRPr="000328F5" w:rsidRDefault="00455820" w:rsidP="00BA76D9">
            <w:pPr>
              <w:widowControl w:val="0"/>
              <w:adjustRightInd w:val="0"/>
              <w:snapToGrid w:val="0"/>
              <w:rPr>
                <w:rFonts w:ascii="Times New Roman" w:hAnsi="Times New Roman" w:cs="Times New Roman"/>
                <w:sz w:val="24"/>
                <w:szCs w:val="24"/>
              </w:rPr>
            </w:pPr>
            <w:r w:rsidRPr="000328F5">
              <w:rPr>
                <w:rFonts w:ascii="Times New Roman" w:hAnsi="Times New Roman" w:cs="Times New Roman"/>
                <w:sz w:val="24"/>
                <w:szCs w:val="24"/>
              </w:rPr>
              <w:t> </w:t>
            </w:r>
            <w:r w:rsidRPr="000328F5">
              <w:rPr>
                <w:rFonts w:ascii="Times New Roman" w:hAnsi="Times New Roman" w:cs="Times New Roman"/>
                <w:sz w:val="24"/>
                <w:szCs w:val="24"/>
              </w:rPr>
              <w:t>Sex (Male vs. Female)</w:t>
            </w:r>
          </w:p>
        </w:tc>
        <w:tc>
          <w:tcPr>
            <w:tcW w:w="2700" w:type="dxa"/>
            <w:hideMark/>
          </w:tcPr>
          <w:p w14:paraId="5F9625FD" w14:textId="77777777" w:rsidR="00455820" w:rsidRPr="000328F5" w:rsidRDefault="00455820" w:rsidP="00BA76D9">
            <w:pPr>
              <w:widowControl w:val="0"/>
              <w:adjustRightInd w:val="0"/>
              <w:snapToGrid w:val="0"/>
              <w:rPr>
                <w:rFonts w:ascii="Times New Roman" w:hAnsi="Times New Roman" w:cs="Times New Roman"/>
                <w:sz w:val="24"/>
                <w:szCs w:val="24"/>
              </w:rPr>
            </w:pPr>
            <w:r w:rsidRPr="000328F5">
              <w:rPr>
                <w:rFonts w:ascii="Times New Roman" w:hAnsi="Times New Roman" w:cs="Times New Roman"/>
                <w:sz w:val="24"/>
                <w:szCs w:val="24"/>
              </w:rPr>
              <w:t>1.85 (1.14–3.01)</w:t>
            </w:r>
          </w:p>
        </w:tc>
        <w:tc>
          <w:tcPr>
            <w:tcW w:w="1194" w:type="dxa"/>
            <w:hideMark/>
          </w:tcPr>
          <w:p w14:paraId="1E3C4490" w14:textId="77777777" w:rsidR="00455820" w:rsidRPr="000328F5" w:rsidRDefault="00455820" w:rsidP="00BA76D9">
            <w:pPr>
              <w:widowControl w:val="0"/>
              <w:adjustRightInd w:val="0"/>
              <w:snapToGrid w:val="0"/>
              <w:rPr>
                <w:rFonts w:ascii="Times New Roman" w:hAnsi="Times New Roman" w:cs="Times New Roman"/>
                <w:sz w:val="24"/>
                <w:szCs w:val="24"/>
              </w:rPr>
            </w:pPr>
            <w:r w:rsidRPr="000328F5">
              <w:rPr>
                <w:rFonts w:ascii="Times New Roman" w:hAnsi="Times New Roman" w:cs="Times New Roman"/>
                <w:sz w:val="24"/>
                <w:szCs w:val="24"/>
              </w:rPr>
              <w:t>0.013</w:t>
            </w:r>
          </w:p>
        </w:tc>
      </w:tr>
      <w:tr w:rsidR="00455820" w:rsidRPr="000328F5" w14:paraId="589EF003" w14:textId="77777777" w:rsidTr="00BA76D9">
        <w:tc>
          <w:tcPr>
            <w:tcW w:w="5125" w:type="dxa"/>
            <w:hideMark/>
          </w:tcPr>
          <w:p w14:paraId="0554FE8F" w14:textId="77777777" w:rsidR="00455820" w:rsidRPr="000328F5" w:rsidRDefault="00455820" w:rsidP="00BA76D9">
            <w:pPr>
              <w:widowControl w:val="0"/>
              <w:adjustRightInd w:val="0"/>
              <w:snapToGrid w:val="0"/>
              <w:rPr>
                <w:rFonts w:ascii="Times New Roman" w:hAnsi="Times New Roman" w:cs="Times New Roman"/>
                <w:sz w:val="24"/>
                <w:szCs w:val="24"/>
              </w:rPr>
            </w:pPr>
            <w:r w:rsidRPr="000328F5">
              <w:rPr>
                <w:rFonts w:ascii="Times New Roman" w:hAnsi="Times New Roman" w:cs="Times New Roman"/>
                <w:sz w:val="24"/>
                <w:szCs w:val="24"/>
              </w:rPr>
              <w:t> </w:t>
            </w:r>
            <w:r w:rsidRPr="000328F5">
              <w:rPr>
                <w:rFonts w:ascii="Times New Roman" w:hAnsi="Times New Roman" w:cs="Times New Roman"/>
                <w:sz w:val="24"/>
                <w:szCs w:val="24"/>
              </w:rPr>
              <w:t>ECOG performance status (≥2 vs. 0–1)</w:t>
            </w:r>
          </w:p>
        </w:tc>
        <w:tc>
          <w:tcPr>
            <w:tcW w:w="2700" w:type="dxa"/>
            <w:hideMark/>
          </w:tcPr>
          <w:p w14:paraId="28B65E23" w14:textId="77777777" w:rsidR="00455820" w:rsidRPr="000328F5" w:rsidRDefault="00455820" w:rsidP="00BA76D9">
            <w:pPr>
              <w:widowControl w:val="0"/>
              <w:adjustRightInd w:val="0"/>
              <w:snapToGrid w:val="0"/>
              <w:rPr>
                <w:rFonts w:ascii="Times New Roman" w:hAnsi="Times New Roman" w:cs="Times New Roman"/>
                <w:sz w:val="24"/>
                <w:szCs w:val="24"/>
              </w:rPr>
            </w:pPr>
            <w:r w:rsidRPr="000328F5">
              <w:rPr>
                <w:rFonts w:ascii="Times New Roman" w:hAnsi="Times New Roman" w:cs="Times New Roman"/>
                <w:sz w:val="24"/>
                <w:szCs w:val="24"/>
              </w:rPr>
              <w:t>2.21 (1.34–3.65)</w:t>
            </w:r>
          </w:p>
        </w:tc>
        <w:tc>
          <w:tcPr>
            <w:tcW w:w="1194" w:type="dxa"/>
            <w:hideMark/>
          </w:tcPr>
          <w:p w14:paraId="7746224E" w14:textId="77777777" w:rsidR="00455820" w:rsidRPr="000328F5" w:rsidRDefault="00455820" w:rsidP="00BA76D9">
            <w:pPr>
              <w:widowControl w:val="0"/>
              <w:adjustRightInd w:val="0"/>
              <w:snapToGrid w:val="0"/>
              <w:rPr>
                <w:rFonts w:ascii="Times New Roman" w:hAnsi="Times New Roman" w:cs="Times New Roman"/>
                <w:sz w:val="24"/>
                <w:szCs w:val="24"/>
              </w:rPr>
            </w:pPr>
            <w:r w:rsidRPr="000328F5">
              <w:rPr>
                <w:rFonts w:ascii="Times New Roman" w:hAnsi="Times New Roman" w:cs="Times New Roman"/>
                <w:sz w:val="24"/>
                <w:szCs w:val="24"/>
              </w:rPr>
              <w:t>0.002</w:t>
            </w:r>
          </w:p>
        </w:tc>
      </w:tr>
      <w:tr w:rsidR="00455820" w:rsidRPr="000328F5" w14:paraId="568BEEF0" w14:textId="77777777" w:rsidTr="00BA76D9">
        <w:tc>
          <w:tcPr>
            <w:tcW w:w="5125" w:type="dxa"/>
            <w:hideMark/>
          </w:tcPr>
          <w:p w14:paraId="646A8FA9" w14:textId="77777777" w:rsidR="00455820" w:rsidRPr="000328F5" w:rsidRDefault="00455820" w:rsidP="00BA76D9">
            <w:pPr>
              <w:widowControl w:val="0"/>
              <w:adjustRightInd w:val="0"/>
              <w:snapToGrid w:val="0"/>
              <w:rPr>
                <w:rFonts w:ascii="Times New Roman" w:hAnsi="Times New Roman" w:cs="Times New Roman"/>
                <w:b/>
                <w:bCs/>
                <w:sz w:val="24"/>
                <w:szCs w:val="24"/>
              </w:rPr>
            </w:pPr>
            <w:r w:rsidRPr="000328F5">
              <w:rPr>
                <w:rFonts w:ascii="Times New Roman" w:hAnsi="Times New Roman" w:cs="Times New Roman"/>
                <w:b/>
                <w:bCs/>
                <w:sz w:val="24"/>
                <w:szCs w:val="24"/>
              </w:rPr>
              <w:t>Disease &amp; treatment</w:t>
            </w:r>
          </w:p>
        </w:tc>
        <w:tc>
          <w:tcPr>
            <w:tcW w:w="2700" w:type="dxa"/>
            <w:hideMark/>
          </w:tcPr>
          <w:p w14:paraId="671627CD" w14:textId="77777777" w:rsidR="00455820" w:rsidRPr="000328F5" w:rsidRDefault="00455820" w:rsidP="00BA76D9">
            <w:pPr>
              <w:widowControl w:val="0"/>
              <w:adjustRightInd w:val="0"/>
              <w:snapToGrid w:val="0"/>
              <w:rPr>
                <w:rFonts w:ascii="Times New Roman" w:hAnsi="Times New Roman" w:cs="Times New Roman"/>
                <w:sz w:val="24"/>
                <w:szCs w:val="24"/>
              </w:rPr>
            </w:pPr>
          </w:p>
        </w:tc>
        <w:tc>
          <w:tcPr>
            <w:tcW w:w="1194" w:type="dxa"/>
            <w:hideMark/>
          </w:tcPr>
          <w:p w14:paraId="5801C268" w14:textId="77777777" w:rsidR="00455820" w:rsidRPr="000328F5" w:rsidRDefault="00455820" w:rsidP="00BA76D9">
            <w:pPr>
              <w:widowControl w:val="0"/>
              <w:adjustRightInd w:val="0"/>
              <w:snapToGrid w:val="0"/>
              <w:rPr>
                <w:rFonts w:ascii="Times New Roman" w:hAnsi="Times New Roman" w:cs="Times New Roman"/>
                <w:sz w:val="24"/>
                <w:szCs w:val="24"/>
              </w:rPr>
            </w:pPr>
          </w:p>
        </w:tc>
      </w:tr>
      <w:tr w:rsidR="00455820" w:rsidRPr="000328F5" w14:paraId="5588BDB4" w14:textId="77777777" w:rsidTr="00BA76D9">
        <w:tc>
          <w:tcPr>
            <w:tcW w:w="5125" w:type="dxa"/>
            <w:hideMark/>
          </w:tcPr>
          <w:p w14:paraId="515A6140" w14:textId="77777777" w:rsidR="00455820" w:rsidRPr="000328F5" w:rsidRDefault="00455820" w:rsidP="00BA76D9">
            <w:pPr>
              <w:widowControl w:val="0"/>
              <w:adjustRightInd w:val="0"/>
              <w:snapToGrid w:val="0"/>
              <w:rPr>
                <w:rFonts w:ascii="Times New Roman" w:hAnsi="Times New Roman" w:cs="Times New Roman"/>
                <w:sz w:val="24"/>
                <w:szCs w:val="24"/>
              </w:rPr>
            </w:pPr>
            <w:r w:rsidRPr="000328F5">
              <w:rPr>
                <w:rFonts w:ascii="Times New Roman" w:hAnsi="Times New Roman" w:cs="Times New Roman"/>
                <w:sz w:val="24"/>
                <w:szCs w:val="24"/>
              </w:rPr>
              <w:t> </w:t>
            </w:r>
            <w:r w:rsidRPr="000328F5">
              <w:rPr>
                <w:rFonts w:ascii="Times New Roman" w:hAnsi="Times New Roman" w:cs="Times New Roman"/>
                <w:sz w:val="24"/>
                <w:szCs w:val="24"/>
              </w:rPr>
              <w:t>Plasmacytoma (Yes vs. No)</w:t>
            </w:r>
          </w:p>
        </w:tc>
        <w:tc>
          <w:tcPr>
            <w:tcW w:w="2700" w:type="dxa"/>
            <w:hideMark/>
          </w:tcPr>
          <w:p w14:paraId="1351BBF4" w14:textId="77777777" w:rsidR="00455820" w:rsidRPr="000328F5" w:rsidRDefault="00455820" w:rsidP="00BA76D9">
            <w:pPr>
              <w:widowControl w:val="0"/>
              <w:adjustRightInd w:val="0"/>
              <w:snapToGrid w:val="0"/>
              <w:rPr>
                <w:rFonts w:ascii="Times New Roman" w:hAnsi="Times New Roman" w:cs="Times New Roman"/>
                <w:sz w:val="24"/>
                <w:szCs w:val="24"/>
              </w:rPr>
            </w:pPr>
            <w:r w:rsidRPr="000328F5">
              <w:rPr>
                <w:rFonts w:ascii="Times New Roman" w:hAnsi="Times New Roman" w:cs="Times New Roman"/>
                <w:sz w:val="24"/>
                <w:szCs w:val="24"/>
              </w:rPr>
              <w:t>1.29 (0.82–2.04)</w:t>
            </w:r>
          </w:p>
        </w:tc>
        <w:tc>
          <w:tcPr>
            <w:tcW w:w="1194" w:type="dxa"/>
            <w:hideMark/>
          </w:tcPr>
          <w:p w14:paraId="41A4421A" w14:textId="77777777" w:rsidR="00455820" w:rsidRPr="000328F5" w:rsidRDefault="00455820" w:rsidP="00BA76D9">
            <w:pPr>
              <w:widowControl w:val="0"/>
              <w:adjustRightInd w:val="0"/>
              <w:snapToGrid w:val="0"/>
              <w:rPr>
                <w:rFonts w:ascii="Times New Roman" w:hAnsi="Times New Roman" w:cs="Times New Roman"/>
                <w:sz w:val="24"/>
                <w:szCs w:val="24"/>
              </w:rPr>
            </w:pPr>
            <w:r w:rsidRPr="000328F5">
              <w:rPr>
                <w:rFonts w:ascii="Times New Roman" w:hAnsi="Times New Roman" w:cs="Times New Roman"/>
                <w:sz w:val="24"/>
                <w:szCs w:val="24"/>
              </w:rPr>
              <w:t>0.268</w:t>
            </w:r>
          </w:p>
        </w:tc>
      </w:tr>
      <w:tr w:rsidR="00455820" w:rsidRPr="000328F5" w14:paraId="24319511" w14:textId="77777777" w:rsidTr="00BA76D9">
        <w:tc>
          <w:tcPr>
            <w:tcW w:w="5125" w:type="dxa"/>
            <w:hideMark/>
          </w:tcPr>
          <w:p w14:paraId="79E28F8F" w14:textId="77777777" w:rsidR="00455820" w:rsidRPr="000328F5" w:rsidRDefault="00455820" w:rsidP="00BA76D9">
            <w:pPr>
              <w:widowControl w:val="0"/>
              <w:adjustRightInd w:val="0"/>
              <w:snapToGrid w:val="0"/>
              <w:rPr>
                <w:rFonts w:ascii="Times New Roman" w:hAnsi="Times New Roman" w:cs="Times New Roman"/>
                <w:sz w:val="24"/>
                <w:szCs w:val="24"/>
              </w:rPr>
            </w:pPr>
            <w:r w:rsidRPr="000328F5">
              <w:rPr>
                <w:rFonts w:ascii="Times New Roman" w:hAnsi="Times New Roman" w:cs="Times New Roman"/>
                <w:sz w:val="24"/>
                <w:szCs w:val="24"/>
              </w:rPr>
              <w:t> </w:t>
            </w:r>
            <w:r w:rsidRPr="000328F5">
              <w:rPr>
                <w:rFonts w:ascii="Times New Roman" w:hAnsi="Times New Roman" w:cs="Times New Roman"/>
                <w:sz w:val="24"/>
                <w:szCs w:val="24"/>
              </w:rPr>
              <w:t>Bortezomib induction (Yes vs. No)</w:t>
            </w:r>
          </w:p>
        </w:tc>
        <w:tc>
          <w:tcPr>
            <w:tcW w:w="2700" w:type="dxa"/>
            <w:hideMark/>
          </w:tcPr>
          <w:p w14:paraId="03AA53BE" w14:textId="77777777" w:rsidR="00455820" w:rsidRPr="000328F5" w:rsidRDefault="00455820" w:rsidP="00BA76D9">
            <w:pPr>
              <w:widowControl w:val="0"/>
              <w:adjustRightInd w:val="0"/>
              <w:snapToGrid w:val="0"/>
              <w:rPr>
                <w:rFonts w:ascii="Times New Roman" w:hAnsi="Times New Roman" w:cs="Times New Roman"/>
                <w:sz w:val="24"/>
                <w:szCs w:val="24"/>
              </w:rPr>
            </w:pPr>
            <w:r w:rsidRPr="000328F5">
              <w:rPr>
                <w:rFonts w:ascii="Times New Roman" w:hAnsi="Times New Roman" w:cs="Times New Roman"/>
                <w:sz w:val="24"/>
                <w:szCs w:val="24"/>
              </w:rPr>
              <w:t>0.73 (0.46–1.14)</w:t>
            </w:r>
          </w:p>
        </w:tc>
        <w:tc>
          <w:tcPr>
            <w:tcW w:w="1194" w:type="dxa"/>
            <w:hideMark/>
          </w:tcPr>
          <w:p w14:paraId="385B5DFD" w14:textId="77777777" w:rsidR="00455820" w:rsidRPr="000328F5" w:rsidRDefault="00455820" w:rsidP="00BA76D9">
            <w:pPr>
              <w:widowControl w:val="0"/>
              <w:adjustRightInd w:val="0"/>
              <w:snapToGrid w:val="0"/>
              <w:rPr>
                <w:rFonts w:ascii="Times New Roman" w:hAnsi="Times New Roman" w:cs="Times New Roman"/>
                <w:sz w:val="24"/>
                <w:szCs w:val="24"/>
              </w:rPr>
            </w:pPr>
            <w:r w:rsidRPr="000328F5">
              <w:rPr>
                <w:rFonts w:ascii="Times New Roman" w:hAnsi="Times New Roman" w:cs="Times New Roman"/>
                <w:sz w:val="24"/>
                <w:szCs w:val="24"/>
              </w:rPr>
              <w:t>0.167</w:t>
            </w:r>
          </w:p>
        </w:tc>
      </w:tr>
      <w:tr w:rsidR="00455820" w:rsidRPr="000328F5" w14:paraId="7426D967" w14:textId="77777777" w:rsidTr="00BA76D9">
        <w:tc>
          <w:tcPr>
            <w:tcW w:w="5125" w:type="dxa"/>
            <w:hideMark/>
          </w:tcPr>
          <w:p w14:paraId="1D308512" w14:textId="77777777" w:rsidR="00455820" w:rsidRPr="000328F5" w:rsidRDefault="00455820" w:rsidP="00BA76D9">
            <w:pPr>
              <w:widowControl w:val="0"/>
              <w:adjustRightInd w:val="0"/>
              <w:snapToGrid w:val="0"/>
              <w:rPr>
                <w:rFonts w:ascii="Times New Roman" w:hAnsi="Times New Roman" w:cs="Times New Roman"/>
                <w:sz w:val="24"/>
                <w:szCs w:val="24"/>
              </w:rPr>
            </w:pPr>
            <w:r w:rsidRPr="000328F5">
              <w:rPr>
                <w:rFonts w:ascii="Times New Roman" w:hAnsi="Times New Roman" w:cs="Times New Roman"/>
                <w:sz w:val="24"/>
                <w:szCs w:val="24"/>
              </w:rPr>
              <w:t> </w:t>
            </w:r>
            <w:r w:rsidRPr="000328F5">
              <w:rPr>
                <w:rFonts w:ascii="Times New Roman" w:hAnsi="Times New Roman" w:cs="Times New Roman"/>
                <w:sz w:val="24"/>
                <w:szCs w:val="24"/>
              </w:rPr>
              <w:t>Autologous SCT (Yes vs. No)</w:t>
            </w:r>
          </w:p>
        </w:tc>
        <w:tc>
          <w:tcPr>
            <w:tcW w:w="2700" w:type="dxa"/>
            <w:hideMark/>
          </w:tcPr>
          <w:p w14:paraId="696DB97C" w14:textId="77777777" w:rsidR="00455820" w:rsidRPr="000328F5" w:rsidRDefault="00455820" w:rsidP="00BA76D9">
            <w:pPr>
              <w:widowControl w:val="0"/>
              <w:adjustRightInd w:val="0"/>
              <w:snapToGrid w:val="0"/>
              <w:rPr>
                <w:rFonts w:ascii="Times New Roman" w:hAnsi="Times New Roman" w:cs="Times New Roman"/>
                <w:sz w:val="24"/>
                <w:szCs w:val="24"/>
              </w:rPr>
            </w:pPr>
            <w:r w:rsidRPr="000328F5">
              <w:rPr>
                <w:rFonts w:ascii="Times New Roman" w:hAnsi="Times New Roman" w:cs="Times New Roman"/>
                <w:sz w:val="24"/>
                <w:szCs w:val="24"/>
              </w:rPr>
              <w:t>0.38 (0.20–0.73)</w:t>
            </w:r>
          </w:p>
        </w:tc>
        <w:tc>
          <w:tcPr>
            <w:tcW w:w="1194" w:type="dxa"/>
            <w:hideMark/>
          </w:tcPr>
          <w:p w14:paraId="3171C1DC" w14:textId="77777777" w:rsidR="00455820" w:rsidRPr="000328F5" w:rsidRDefault="00455820" w:rsidP="00BA76D9">
            <w:pPr>
              <w:widowControl w:val="0"/>
              <w:adjustRightInd w:val="0"/>
              <w:snapToGrid w:val="0"/>
              <w:rPr>
                <w:rFonts w:ascii="Times New Roman" w:hAnsi="Times New Roman" w:cs="Times New Roman"/>
                <w:sz w:val="24"/>
                <w:szCs w:val="24"/>
              </w:rPr>
            </w:pPr>
            <w:r w:rsidRPr="000328F5">
              <w:rPr>
                <w:rFonts w:ascii="Times New Roman" w:hAnsi="Times New Roman" w:cs="Times New Roman"/>
                <w:sz w:val="24"/>
                <w:szCs w:val="24"/>
              </w:rPr>
              <w:t>0.004</w:t>
            </w:r>
          </w:p>
        </w:tc>
      </w:tr>
    </w:tbl>
    <w:p w14:paraId="116F455F" w14:textId="77777777" w:rsidR="00455820" w:rsidRPr="000328F5" w:rsidRDefault="00455820" w:rsidP="00455820">
      <w:pPr>
        <w:widowControl w:val="0"/>
        <w:adjustRightInd w:val="0"/>
        <w:snapToGrid w:val="0"/>
        <w:rPr>
          <w:rFonts w:ascii="Times New Roman" w:hAnsi="Times New Roman" w:cs="Times New Roman"/>
          <w:i/>
          <w:iCs/>
        </w:rPr>
      </w:pPr>
      <w:r w:rsidRPr="000328F5">
        <w:rPr>
          <w:rFonts w:ascii="Times New Roman" w:hAnsi="Times New Roman" w:cs="Times New Roman"/>
          <w:i/>
          <w:iCs/>
        </w:rPr>
        <w:t>Abbreviations: HR, hazard ratio; CI, confidence interval; β2M, β₂-microglobulin; CrCl, creatinine clearance; ECOG, Eastern Cooperative Oncology Group; SCT, stem cell transplantation.</w:t>
      </w:r>
    </w:p>
    <w:p w14:paraId="74C51836" w14:textId="77777777" w:rsidR="00455820" w:rsidRPr="000328F5" w:rsidRDefault="00455820" w:rsidP="00455820">
      <w:pPr>
        <w:widowControl w:val="0"/>
        <w:adjustRightInd w:val="0"/>
        <w:snapToGrid w:val="0"/>
        <w:rPr>
          <w:rFonts w:ascii="Times New Roman" w:hAnsi="Times New Roman" w:cs="Times New Roman"/>
          <w:lang w:eastAsia="zh-CN"/>
        </w:rPr>
      </w:pPr>
    </w:p>
    <w:p w14:paraId="5538BB41" w14:textId="77777777" w:rsidR="0067415F" w:rsidRDefault="0067415F"/>
    <w:sectPr w:rsidR="0067415F" w:rsidSect="0045582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033"/>
    <w:rsid w:val="003E1B4B"/>
    <w:rsid w:val="004244E6"/>
    <w:rsid w:val="00455820"/>
    <w:rsid w:val="0067415F"/>
    <w:rsid w:val="007320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AEA249-5083-4346-B400-59AA93935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203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3203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3203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3203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3203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320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20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20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20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203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3203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3203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3203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3203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320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20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20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2033"/>
    <w:rPr>
      <w:rFonts w:eastAsiaTheme="majorEastAsia" w:cstheme="majorBidi"/>
      <w:color w:val="272727" w:themeColor="text1" w:themeTint="D8"/>
    </w:rPr>
  </w:style>
  <w:style w:type="paragraph" w:styleId="Title">
    <w:name w:val="Title"/>
    <w:basedOn w:val="Normal"/>
    <w:next w:val="Normal"/>
    <w:link w:val="TitleChar"/>
    <w:uiPriority w:val="10"/>
    <w:qFormat/>
    <w:rsid w:val="007320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20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20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0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2033"/>
    <w:pPr>
      <w:spacing w:before="160"/>
      <w:jc w:val="center"/>
    </w:pPr>
    <w:rPr>
      <w:i/>
      <w:iCs/>
      <w:color w:val="404040" w:themeColor="text1" w:themeTint="BF"/>
    </w:rPr>
  </w:style>
  <w:style w:type="character" w:customStyle="1" w:styleId="QuoteChar">
    <w:name w:val="Quote Char"/>
    <w:basedOn w:val="DefaultParagraphFont"/>
    <w:link w:val="Quote"/>
    <w:uiPriority w:val="29"/>
    <w:rsid w:val="00732033"/>
    <w:rPr>
      <w:i/>
      <w:iCs/>
      <w:color w:val="404040" w:themeColor="text1" w:themeTint="BF"/>
    </w:rPr>
  </w:style>
  <w:style w:type="paragraph" w:styleId="ListParagraph">
    <w:name w:val="List Paragraph"/>
    <w:basedOn w:val="Normal"/>
    <w:uiPriority w:val="34"/>
    <w:qFormat/>
    <w:rsid w:val="00732033"/>
    <w:pPr>
      <w:ind w:left="720"/>
      <w:contextualSpacing/>
    </w:pPr>
  </w:style>
  <w:style w:type="character" w:styleId="IntenseEmphasis">
    <w:name w:val="Intense Emphasis"/>
    <w:basedOn w:val="DefaultParagraphFont"/>
    <w:uiPriority w:val="21"/>
    <w:qFormat/>
    <w:rsid w:val="00732033"/>
    <w:rPr>
      <w:i/>
      <w:iCs/>
      <w:color w:val="2F5496" w:themeColor="accent1" w:themeShade="BF"/>
    </w:rPr>
  </w:style>
  <w:style w:type="paragraph" w:styleId="IntenseQuote">
    <w:name w:val="Intense Quote"/>
    <w:basedOn w:val="Normal"/>
    <w:next w:val="Normal"/>
    <w:link w:val="IntenseQuoteChar"/>
    <w:uiPriority w:val="30"/>
    <w:qFormat/>
    <w:rsid w:val="007320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32033"/>
    <w:rPr>
      <w:i/>
      <w:iCs/>
      <w:color w:val="2F5496" w:themeColor="accent1" w:themeShade="BF"/>
    </w:rPr>
  </w:style>
  <w:style w:type="character" w:styleId="IntenseReference">
    <w:name w:val="Intense Reference"/>
    <w:basedOn w:val="DefaultParagraphFont"/>
    <w:uiPriority w:val="32"/>
    <w:qFormat/>
    <w:rsid w:val="00732033"/>
    <w:rPr>
      <w:b/>
      <w:bCs/>
      <w:smallCaps/>
      <w:color w:val="2F5496" w:themeColor="accent1" w:themeShade="BF"/>
      <w:spacing w:val="5"/>
    </w:rPr>
  </w:style>
  <w:style w:type="table" w:styleId="TableGrid">
    <w:name w:val="Table Grid"/>
    <w:basedOn w:val="TableNormal"/>
    <w:uiPriority w:val="39"/>
    <w:rsid w:val="00455820"/>
    <w:pPr>
      <w:spacing w:after="0" w:line="240" w:lineRule="auto"/>
    </w:pPr>
    <w:rPr>
      <w:rFonts w:eastAsiaTheme="minorEastAsia"/>
      <w:sz w:val="22"/>
      <w:szCs w:val="28"/>
      <w:lang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895</Characters>
  <Application>Microsoft Office Word</Application>
  <DocSecurity>0</DocSecurity>
  <Lines>7</Lines>
  <Paragraphs>2</Paragraphs>
  <ScaleCrop>false</ScaleCrop>
  <Company/>
  <LinksUpToDate>false</LinksUpToDate>
  <CharactersWithSpaces>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Wei</dc:creator>
  <cp:keywords/>
  <dc:description/>
  <cp:lastModifiedBy>Robin Wei</cp:lastModifiedBy>
  <cp:revision>2</cp:revision>
  <dcterms:created xsi:type="dcterms:W3CDTF">2026-06-17T06:49:00Z</dcterms:created>
  <dcterms:modified xsi:type="dcterms:W3CDTF">2026-06-17T06:49:00Z</dcterms:modified>
</cp:coreProperties>
</file>