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6110" w14:textId="77777777" w:rsidR="00A2091F" w:rsidRDefault="00A2091F" w:rsidP="00A2091F">
      <w:pPr>
        <w:widowControl w:val="0"/>
        <w:adjustRightInd w:val="0"/>
        <w:snapToGrid w:val="0"/>
        <w:rPr>
          <w:rFonts w:ascii="Times New Roman" w:hAnsi="Times New Roman" w:cs="Times New Roman"/>
          <w:b/>
          <w:bCs/>
          <w:i/>
          <w:iCs/>
          <w:lang w:eastAsia="zh-CN"/>
        </w:rPr>
      </w:pPr>
    </w:p>
    <w:p w14:paraId="4B618E42" w14:textId="77777777" w:rsidR="00A2091F" w:rsidRPr="000328F5" w:rsidRDefault="00A2091F" w:rsidP="00A2091F">
      <w:pPr>
        <w:widowControl w:val="0"/>
        <w:adjustRightInd w:val="0"/>
        <w:snapToGrid w:val="0"/>
        <w:rPr>
          <w:rFonts w:ascii="Times New Roman" w:hAnsi="Times New Roman" w:cs="Times New Roman"/>
          <w:b/>
          <w:bCs/>
          <w:i/>
          <w:iCs/>
          <w:lang w:eastAsia="zh-CN"/>
        </w:rPr>
      </w:pPr>
    </w:p>
    <w:p w14:paraId="789B65F2" w14:textId="77777777" w:rsidR="00A2091F" w:rsidRPr="000328F5" w:rsidRDefault="00A2091F" w:rsidP="00A2091F">
      <w:pPr>
        <w:widowControl w:val="0"/>
        <w:adjustRightInd w:val="0"/>
        <w:snapToGrid w:val="0"/>
        <w:rPr>
          <w:rFonts w:ascii="Times New Roman" w:hAnsi="Times New Roman" w:cs="Times New Roman"/>
          <w:cs/>
        </w:rPr>
      </w:pPr>
      <w:r w:rsidRPr="000328F5">
        <w:rPr>
          <w:rFonts w:ascii="Times New Roman" w:hAnsi="Times New Roman" w:cs="Times New Roman"/>
          <w:b/>
          <w:bCs/>
        </w:rPr>
        <w:t>S</w:t>
      </w:r>
      <w:r>
        <w:rPr>
          <w:rFonts w:ascii="Times New Roman" w:hAnsi="Times New Roman" w:cs="Times New Roman" w:hint="eastAsia"/>
          <w:b/>
          <w:bCs/>
          <w:lang w:eastAsia="zh-CN"/>
        </w:rPr>
        <w:t>uppl 5</w:t>
      </w:r>
      <w:r w:rsidRPr="000328F5">
        <w:rPr>
          <w:rFonts w:ascii="Times New Roman" w:hAnsi="Times New Roman" w:cs="Times New Roman"/>
          <w:b/>
          <w:bCs/>
        </w:rPr>
        <w:t>.</w:t>
      </w:r>
      <w:r w:rsidRPr="000328F5">
        <w:rPr>
          <w:rFonts w:ascii="Times New Roman" w:hAnsi="Times New Roman" w:cs="Times New Roman"/>
        </w:rPr>
        <w:t xml:space="preserve"> Stratified multivariable Cox proportional hazards analysis for overall survival (OS). The model was stratified by era of diagnosis (2006–2010, 2011–2015, 2016–2020, and 2021–2023) to account for potential variation in baseline hazards across treatment eras. </w:t>
      </w:r>
    </w:p>
    <w:tbl>
      <w:tblPr>
        <w:tblStyle w:val="TableGrid"/>
        <w:tblW w:w="0" w:type="auto"/>
        <w:tblLook w:val="04A0" w:firstRow="1" w:lastRow="0" w:firstColumn="1" w:lastColumn="0" w:noHBand="0" w:noVBand="1"/>
      </w:tblPr>
      <w:tblGrid>
        <w:gridCol w:w="5125"/>
        <w:gridCol w:w="2700"/>
        <w:gridCol w:w="1194"/>
      </w:tblGrid>
      <w:tr w:rsidR="00A2091F" w:rsidRPr="000328F5" w14:paraId="548B4A7E" w14:textId="77777777" w:rsidTr="00BA76D9">
        <w:tc>
          <w:tcPr>
            <w:tcW w:w="5125" w:type="dxa"/>
            <w:vAlign w:val="center"/>
            <w:hideMark/>
          </w:tcPr>
          <w:p w14:paraId="7CA2EB4C" w14:textId="77777777" w:rsidR="00A2091F" w:rsidRPr="000328F5" w:rsidRDefault="00A2091F"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Variable</w:t>
            </w:r>
          </w:p>
        </w:tc>
        <w:tc>
          <w:tcPr>
            <w:tcW w:w="2700" w:type="dxa"/>
            <w:vAlign w:val="center"/>
            <w:hideMark/>
          </w:tcPr>
          <w:p w14:paraId="1129C284" w14:textId="77777777" w:rsidR="00A2091F" w:rsidRPr="000328F5" w:rsidRDefault="00A2091F"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Adjusted HR (95% CI)</w:t>
            </w:r>
          </w:p>
        </w:tc>
        <w:tc>
          <w:tcPr>
            <w:tcW w:w="1194" w:type="dxa"/>
            <w:vAlign w:val="center"/>
            <w:hideMark/>
          </w:tcPr>
          <w:p w14:paraId="0A17F7D5" w14:textId="77777777" w:rsidR="00A2091F" w:rsidRPr="000328F5" w:rsidRDefault="00A2091F"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i/>
                <w:iCs/>
                <w:sz w:val="24"/>
                <w:szCs w:val="24"/>
              </w:rPr>
              <w:t>P</w:t>
            </w:r>
            <w:r w:rsidRPr="000328F5">
              <w:rPr>
                <w:rFonts w:ascii="Times New Roman" w:hAnsi="Times New Roman" w:cs="Times New Roman"/>
                <w:b/>
                <w:bCs/>
                <w:sz w:val="24"/>
                <w:szCs w:val="24"/>
              </w:rPr>
              <w:t xml:space="preserve"> value</w:t>
            </w:r>
          </w:p>
        </w:tc>
      </w:tr>
      <w:tr w:rsidR="00A2091F" w:rsidRPr="000328F5" w14:paraId="195350D9" w14:textId="77777777" w:rsidTr="00BA76D9">
        <w:tc>
          <w:tcPr>
            <w:tcW w:w="5125" w:type="dxa"/>
            <w:hideMark/>
          </w:tcPr>
          <w:p w14:paraId="7EB5B2BD" w14:textId="77777777" w:rsidR="00A2091F" w:rsidRPr="000328F5" w:rsidRDefault="00A2091F"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Study groups (serum creatinine-based)</w:t>
            </w:r>
          </w:p>
        </w:tc>
        <w:tc>
          <w:tcPr>
            <w:tcW w:w="2700" w:type="dxa"/>
            <w:hideMark/>
          </w:tcPr>
          <w:p w14:paraId="1B96FD3D" w14:textId="77777777" w:rsidR="00A2091F" w:rsidRPr="000328F5" w:rsidRDefault="00A2091F" w:rsidP="00BA76D9">
            <w:pPr>
              <w:widowControl w:val="0"/>
              <w:adjustRightInd w:val="0"/>
              <w:snapToGrid w:val="0"/>
              <w:rPr>
                <w:rFonts w:ascii="Times New Roman" w:hAnsi="Times New Roman" w:cs="Times New Roman"/>
                <w:sz w:val="24"/>
                <w:szCs w:val="24"/>
              </w:rPr>
            </w:pPr>
          </w:p>
        </w:tc>
        <w:tc>
          <w:tcPr>
            <w:tcW w:w="1194" w:type="dxa"/>
            <w:hideMark/>
          </w:tcPr>
          <w:p w14:paraId="0A7DDB50" w14:textId="77777777" w:rsidR="00A2091F" w:rsidRPr="000328F5" w:rsidRDefault="00A2091F" w:rsidP="00BA76D9">
            <w:pPr>
              <w:widowControl w:val="0"/>
              <w:adjustRightInd w:val="0"/>
              <w:snapToGrid w:val="0"/>
              <w:rPr>
                <w:rFonts w:ascii="Times New Roman" w:hAnsi="Times New Roman" w:cs="Times New Roman"/>
                <w:sz w:val="24"/>
                <w:szCs w:val="24"/>
              </w:rPr>
            </w:pPr>
          </w:p>
        </w:tc>
      </w:tr>
      <w:tr w:rsidR="00A2091F" w:rsidRPr="000328F5" w14:paraId="6D3E0A99" w14:textId="77777777" w:rsidTr="00BA76D9">
        <w:tc>
          <w:tcPr>
            <w:tcW w:w="5125" w:type="dxa"/>
            <w:hideMark/>
          </w:tcPr>
          <w:p w14:paraId="2C5164EF"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Group A (Low β2M)</w:t>
            </w:r>
          </w:p>
        </w:tc>
        <w:tc>
          <w:tcPr>
            <w:tcW w:w="2700" w:type="dxa"/>
            <w:hideMark/>
          </w:tcPr>
          <w:p w14:paraId="4999DEF8"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1.00 (Reference)</w:t>
            </w:r>
          </w:p>
        </w:tc>
        <w:tc>
          <w:tcPr>
            <w:tcW w:w="1194" w:type="dxa"/>
            <w:hideMark/>
          </w:tcPr>
          <w:p w14:paraId="2F0BA823"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w:t>
            </w:r>
          </w:p>
        </w:tc>
      </w:tr>
      <w:tr w:rsidR="00A2091F" w:rsidRPr="000328F5" w14:paraId="5015FDCA" w14:textId="77777777" w:rsidTr="00BA76D9">
        <w:tc>
          <w:tcPr>
            <w:tcW w:w="5125" w:type="dxa"/>
            <w:hideMark/>
          </w:tcPr>
          <w:p w14:paraId="00297F28"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Group B (High β2M, Cr &lt;1.2 mg/dL)</w:t>
            </w:r>
          </w:p>
        </w:tc>
        <w:tc>
          <w:tcPr>
            <w:tcW w:w="2700" w:type="dxa"/>
            <w:hideMark/>
          </w:tcPr>
          <w:p w14:paraId="52FFC07A"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1.85 (0.85–4.03)</w:t>
            </w:r>
          </w:p>
        </w:tc>
        <w:tc>
          <w:tcPr>
            <w:tcW w:w="1194" w:type="dxa"/>
            <w:hideMark/>
          </w:tcPr>
          <w:p w14:paraId="3887E2D6"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0.122</w:t>
            </w:r>
          </w:p>
        </w:tc>
      </w:tr>
      <w:tr w:rsidR="00A2091F" w:rsidRPr="000328F5" w14:paraId="225931D7" w14:textId="77777777" w:rsidTr="00BA76D9">
        <w:tc>
          <w:tcPr>
            <w:tcW w:w="5125" w:type="dxa"/>
            <w:hideMark/>
          </w:tcPr>
          <w:p w14:paraId="76B6043F"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Group C (High β2M, Cr ≥1.2 mg/dL)</w:t>
            </w:r>
          </w:p>
        </w:tc>
        <w:tc>
          <w:tcPr>
            <w:tcW w:w="2700" w:type="dxa"/>
            <w:hideMark/>
          </w:tcPr>
          <w:p w14:paraId="3FCDEB3C"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1.84 (1.14–2.99)</w:t>
            </w:r>
          </w:p>
        </w:tc>
        <w:tc>
          <w:tcPr>
            <w:tcW w:w="1194" w:type="dxa"/>
            <w:hideMark/>
          </w:tcPr>
          <w:p w14:paraId="59C62A7F"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0.013</w:t>
            </w:r>
          </w:p>
        </w:tc>
      </w:tr>
      <w:tr w:rsidR="00A2091F" w:rsidRPr="000328F5" w14:paraId="3F0FE710" w14:textId="77777777" w:rsidTr="00BA76D9">
        <w:tc>
          <w:tcPr>
            <w:tcW w:w="5125" w:type="dxa"/>
            <w:hideMark/>
          </w:tcPr>
          <w:p w14:paraId="52D9C791" w14:textId="77777777" w:rsidR="00A2091F" w:rsidRPr="000328F5" w:rsidRDefault="00A2091F"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Patient characteristics</w:t>
            </w:r>
          </w:p>
        </w:tc>
        <w:tc>
          <w:tcPr>
            <w:tcW w:w="2700" w:type="dxa"/>
            <w:hideMark/>
          </w:tcPr>
          <w:p w14:paraId="07C9E3F0" w14:textId="77777777" w:rsidR="00A2091F" w:rsidRPr="000328F5" w:rsidRDefault="00A2091F" w:rsidP="00BA76D9">
            <w:pPr>
              <w:widowControl w:val="0"/>
              <w:adjustRightInd w:val="0"/>
              <w:snapToGrid w:val="0"/>
              <w:rPr>
                <w:rFonts w:ascii="Times New Roman" w:hAnsi="Times New Roman" w:cs="Times New Roman"/>
                <w:sz w:val="24"/>
                <w:szCs w:val="24"/>
              </w:rPr>
            </w:pPr>
          </w:p>
        </w:tc>
        <w:tc>
          <w:tcPr>
            <w:tcW w:w="1194" w:type="dxa"/>
            <w:hideMark/>
          </w:tcPr>
          <w:p w14:paraId="673A34FE" w14:textId="77777777" w:rsidR="00A2091F" w:rsidRPr="000328F5" w:rsidRDefault="00A2091F" w:rsidP="00BA76D9">
            <w:pPr>
              <w:widowControl w:val="0"/>
              <w:adjustRightInd w:val="0"/>
              <w:snapToGrid w:val="0"/>
              <w:rPr>
                <w:rFonts w:ascii="Times New Roman" w:hAnsi="Times New Roman" w:cs="Times New Roman"/>
                <w:sz w:val="24"/>
                <w:szCs w:val="24"/>
              </w:rPr>
            </w:pPr>
          </w:p>
        </w:tc>
      </w:tr>
      <w:tr w:rsidR="00A2091F" w:rsidRPr="000328F5" w14:paraId="21816540" w14:textId="77777777" w:rsidTr="00BA76D9">
        <w:tc>
          <w:tcPr>
            <w:tcW w:w="5125" w:type="dxa"/>
            <w:hideMark/>
          </w:tcPr>
          <w:p w14:paraId="60203524"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Age (per year increase)</w:t>
            </w:r>
          </w:p>
        </w:tc>
        <w:tc>
          <w:tcPr>
            <w:tcW w:w="2700" w:type="dxa"/>
            <w:hideMark/>
          </w:tcPr>
          <w:p w14:paraId="4EA3883C"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1.00 (0.98–1.02)</w:t>
            </w:r>
          </w:p>
        </w:tc>
        <w:tc>
          <w:tcPr>
            <w:tcW w:w="1194" w:type="dxa"/>
            <w:hideMark/>
          </w:tcPr>
          <w:p w14:paraId="72AE3DAF"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0.904</w:t>
            </w:r>
          </w:p>
        </w:tc>
      </w:tr>
      <w:tr w:rsidR="00A2091F" w:rsidRPr="000328F5" w14:paraId="48D58728" w14:textId="77777777" w:rsidTr="00BA76D9">
        <w:tc>
          <w:tcPr>
            <w:tcW w:w="5125" w:type="dxa"/>
            <w:hideMark/>
          </w:tcPr>
          <w:p w14:paraId="7C1619B2"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Sex (Male vs. Female)</w:t>
            </w:r>
          </w:p>
        </w:tc>
        <w:tc>
          <w:tcPr>
            <w:tcW w:w="2700" w:type="dxa"/>
            <w:hideMark/>
          </w:tcPr>
          <w:p w14:paraId="76E4AC82"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1.77 (1.04–3.02)</w:t>
            </w:r>
          </w:p>
        </w:tc>
        <w:tc>
          <w:tcPr>
            <w:tcW w:w="1194" w:type="dxa"/>
            <w:hideMark/>
          </w:tcPr>
          <w:p w14:paraId="3DBAF854"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0.036</w:t>
            </w:r>
          </w:p>
        </w:tc>
      </w:tr>
      <w:tr w:rsidR="00A2091F" w:rsidRPr="000328F5" w14:paraId="5757C816" w14:textId="77777777" w:rsidTr="00BA76D9">
        <w:tc>
          <w:tcPr>
            <w:tcW w:w="5125" w:type="dxa"/>
            <w:hideMark/>
          </w:tcPr>
          <w:p w14:paraId="42AEDECD"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ECOG performance status (≥2 vs. 0–1)</w:t>
            </w:r>
          </w:p>
        </w:tc>
        <w:tc>
          <w:tcPr>
            <w:tcW w:w="2700" w:type="dxa"/>
            <w:hideMark/>
          </w:tcPr>
          <w:p w14:paraId="49A62D12"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2.14 (1.30–3.52)</w:t>
            </w:r>
          </w:p>
        </w:tc>
        <w:tc>
          <w:tcPr>
            <w:tcW w:w="1194" w:type="dxa"/>
            <w:hideMark/>
          </w:tcPr>
          <w:p w14:paraId="071BFA23"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0.003</w:t>
            </w:r>
          </w:p>
        </w:tc>
      </w:tr>
      <w:tr w:rsidR="00A2091F" w:rsidRPr="000328F5" w14:paraId="4E36F0E4" w14:textId="77777777" w:rsidTr="00BA76D9">
        <w:tc>
          <w:tcPr>
            <w:tcW w:w="5125" w:type="dxa"/>
            <w:hideMark/>
          </w:tcPr>
          <w:p w14:paraId="5DA3D6BF" w14:textId="77777777" w:rsidR="00A2091F" w:rsidRPr="000328F5" w:rsidRDefault="00A2091F"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Disease &amp; treatment</w:t>
            </w:r>
          </w:p>
        </w:tc>
        <w:tc>
          <w:tcPr>
            <w:tcW w:w="2700" w:type="dxa"/>
            <w:hideMark/>
          </w:tcPr>
          <w:p w14:paraId="717246A9" w14:textId="77777777" w:rsidR="00A2091F" w:rsidRPr="000328F5" w:rsidRDefault="00A2091F" w:rsidP="00BA76D9">
            <w:pPr>
              <w:widowControl w:val="0"/>
              <w:adjustRightInd w:val="0"/>
              <w:snapToGrid w:val="0"/>
              <w:rPr>
                <w:rFonts w:ascii="Times New Roman" w:hAnsi="Times New Roman" w:cs="Times New Roman"/>
                <w:sz w:val="24"/>
                <w:szCs w:val="24"/>
              </w:rPr>
            </w:pPr>
          </w:p>
        </w:tc>
        <w:tc>
          <w:tcPr>
            <w:tcW w:w="1194" w:type="dxa"/>
            <w:hideMark/>
          </w:tcPr>
          <w:p w14:paraId="480DA31A" w14:textId="77777777" w:rsidR="00A2091F" w:rsidRPr="000328F5" w:rsidRDefault="00A2091F" w:rsidP="00BA76D9">
            <w:pPr>
              <w:widowControl w:val="0"/>
              <w:adjustRightInd w:val="0"/>
              <w:snapToGrid w:val="0"/>
              <w:rPr>
                <w:rFonts w:ascii="Times New Roman" w:hAnsi="Times New Roman" w:cs="Times New Roman"/>
                <w:sz w:val="24"/>
                <w:szCs w:val="24"/>
              </w:rPr>
            </w:pPr>
          </w:p>
        </w:tc>
      </w:tr>
      <w:tr w:rsidR="00A2091F" w:rsidRPr="000328F5" w14:paraId="00AE2CBB" w14:textId="77777777" w:rsidTr="00BA76D9">
        <w:tc>
          <w:tcPr>
            <w:tcW w:w="5125" w:type="dxa"/>
            <w:hideMark/>
          </w:tcPr>
          <w:p w14:paraId="2CC42981"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Plasmacytoma (Yes vs. No)</w:t>
            </w:r>
          </w:p>
        </w:tc>
        <w:tc>
          <w:tcPr>
            <w:tcW w:w="2700" w:type="dxa"/>
            <w:hideMark/>
          </w:tcPr>
          <w:p w14:paraId="7C79090F"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1.29 (0.82–2.04)</w:t>
            </w:r>
          </w:p>
        </w:tc>
        <w:tc>
          <w:tcPr>
            <w:tcW w:w="1194" w:type="dxa"/>
            <w:hideMark/>
          </w:tcPr>
          <w:p w14:paraId="4A5D846D"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0.270</w:t>
            </w:r>
          </w:p>
        </w:tc>
      </w:tr>
      <w:tr w:rsidR="00A2091F" w:rsidRPr="000328F5" w14:paraId="1C62DB14" w14:textId="77777777" w:rsidTr="00BA76D9">
        <w:tc>
          <w:tcPr>
            <w:tcW w:w="5125" w:type="dxa"/>
            <w:hideMark/>
          </w:tcPr>
          <w:p w14:paraId="34F6C153"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Bortezomib induction (Yes vs. No)</w:t>
            </w:r>
          </w:p>
        </w:tc>
        <w:tc>
          <w:tcPr>
            <w:tcW w:w="2700" w:type="dxa"/>
            <w:hideMark/>
          </w:tcPr>
          <w:p w14:paraId="79635A40"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0.70 (0.45–1.09)</w:t>
            </w:r>
          </w:p>
        </w:tc>
        <w:tc>
          <w:tcPr>
            <w:tcW w:w="1194" w:type="dxa"/>
            <w:hideMark/>
          </w:tcPr>
          <w:p w14:paraId="738A516E"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0.115</w:t>
            </w:r>
          </w:p>
        </w:tc>
      </w:tr>
      <w:tr w:rsidR="00A2091F" w:rsidRPr="000328F5" w14:paraId="6852B6E4" w14:textId="77777777" w:rsidTr="00BA76D9">
        <w:tc>
          <w:tcPr>
            <w:tcW w:w="5125" w:type="dxa"/>
            <w:hideMark/>
          </w:tcPr>
          <w:p w14:paraId="177B5A52"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Autologous SCT (Yes vs. No)</w:t>
            </w:r>
          </w:p>
        </w:tc>
        <w:tc>
          <w:tcPr>
            <w:tcW w:w="2700" w:type="dxa"/>
            <w:hideMark/>
          </w:tcPr>
          <w:p w14:paraId="7244BD46"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0.37 (0.19–0.71)</w:t>
            </w:r>
          </w:p>
        </w:tc>
        <w:tc>
          <w:tcPr>
            <w:tcW w:w="1194" w:type="dxa"/>
            <w:hideMark/>
          </w:tcPr>
          <w:p w14:paraId="521E1D31" w14:textId="77777777" w:rsidR="00A2091F" w:rsidRPr="000328F5" w:rsidRDefault="00A2091F"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0.003</w:t>
            </w:r>
          </w:p>
        </w:tc>
      </w:tr>
    </w:tbl>
    <w:p w14:paraId="483F3DB7" w14:textId="77777777" w:rsidR="00A2091F" w:rsidRPr="000328F5" w:rsidRDefault="00A2091F" w:rsidP="00A2091F">
      <w:pPr>
        <w:widowControl w:val="0"/>
        <w:adjustRightInd w:val="0"/>
        <w:snapToGrid w:val="0"/>
        <w:rPr>
          <w:rFonts w:ascii="Times New Roman" w:hAnsi="Times New Roman" w:cs="Times New Roman"/>
          <w:i/>
          <w:iCs/>
        </w:rPr>
      </w:pPr>
      <w:r w:rsidRPr="000328F5">
        <w:rPr>
          <w:rFonts w:ascii="Times New Roman" w:hAnsi="Times New Roman" w:cs="Times New Roman"/>
          <w:i/>
          <w:iCs/>
        </w:rPr>
        <w:t>Abbreviations: HR, hazard ratio; CI, confidence interval; β2M, β₂-microglobulin; Cr, creatinine; ECOG, Eastern Cooperative Oncology Group; SCT, stem cell transplantation.</w:t>
      </w:r>
    </w:p>
    <w:p w14:paraId="3D2F7D1B" w14:textId="77777777" w:rsidR="00A2091F" w:rsidRPr="000328F5" w:rsidRDefault="00A2091F" w:rsidP="00A2091F">
      <w:pPr>
        <w:widowControl w:val="0"/>
        <w:adjustRightInd w:val="0"/>
        <w:snapToGrid w:val="0"/>
        <w:rPr>
          <w:rFonts w:ascii="Times New Roman" w:hAnsi="Times New Roman" w:cs="Times New Roman"/>
          <w:b/>
          <w:bCs/>
        </w:rPr>
      </w:pPr>
    </w:p>
    <w:p w14:paraId="4460E7E7" w14:textId="77777777" w:rsidR="0067415F" w:rsidRDefault="0067415F"/>
    <w:sectPr w:rsidR="00674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78"/>
    <w:rsid w:val="003E1B4B"/>
    <w:rsid w:val="004244E6"/>
    <w:rsid w:val="0067415F"/>
    <w:rsid w:val="00A2091F"/>
    <w:rsid w:val="00AC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ED469-4C86-484F-B27C-ACBD9DA5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9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9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9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9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9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9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9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978"/>
    <w:rPr>
      <w:rFonts w:eastAsiaTheme="majorEastAsia" w:cstheme="majorBidi"/>
      <w:color w:val="272727" w:themeColor="text1" w:themeTint="D8"/>
    </w:rPr>
  </w:style>
  <w:style w:type="paragraph" w:styleId="Title">
    <w:name w:val="Title"/>
    <w:basedOn w:val="Normal"/>
    <w:next w:val="Normal"/>
    <w:link w:val="TitleChar"/>
    <w:uiPriority w:val="10"/>
    <w:qFormat/>
    <w:rsid w:val="00AC1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978"/>
    <w:pPr>
      <w:spacing w:before="160"/>
      <w:jc w:val="center"/>
    </w:pPr>
    <w:rPr>
      <w:i/>
      <w:iCs/>
      <w:color w:val="404040" w:themeColor="text1" w:themeTint="BF"/>
    </w:rPr>
  </w:style>
  <w:style w:type="character" w:customStyle="1" w:styleId="QuoteChar">
    <w:name w:val="Quote Char"/>
    <w:basedOn w:val="DefaultParagraphFont"/>
    <w:link w:val="Quote"/>
    <w:uiPriority w:val="29"/>
    <w:rsid w:val="00AC1978"/>
    <w:rPr>
      <w:i/>
      <w:iCs/>
      <w:color w:val="404040" w:themeColor="text1" w:themeTint="BF"/>
    </w:rPr>
  </w:style>
  <w:style w:type="paragraph" w:styleId="ListParagraph">
    <w:name w:val="List Paragraph"/>
    <w:basedOn w:val="Normal"/>
    <w:uiPriority w:val="34"/>
    <w:qFormat/>
    <w:rsid w:val="00AC1978"/>
    <w:pPr>
      <w:ind w:left="720"/>
      <w:contextualSpacing/>
    </w:pPr>
  </w:style>
  <w:style w:type="character" w:styleId="IntenseEmphasis">
    <w:name w:val="Intense Emphasis"/>
    <w:basedOn w:val="DefaultParagraphFont"/>
    <w:uiPriority w:val="21"/>
    <w:qFormat/>
    <w:rsid w:val="00AC1978"/>
    <w:rPr>
      <w:i/>
      <w:iCs/>
      <w:color w:val="2F5496" w:themeColor="accent1" w:themeShade="BF"/>
    </w:rPr>
  </w:style>
  <w:style w:type="paragraph" w:styleId="IntenseQuote">
    <w:name w:val="Intense Quote"/>
    <w:basedOn w:val="Normal"/>
    <w:next w:val="Normal"/>
    <w:link w:val="IntenseQuoteChar"/>
    <w:uiPriority w:val="30"/>
    <w:qFormat/>
    <w:rsid w:val="00AC1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978"/>
    <w:rPr>
      <w:i/>
      <w:iCs/>
      <w:color w:val="2F5496" w:themeColor="accent1" w:themeShade="BF"/>
    </w:rPr>
  </w:style>
  <w:style w:type="character" w:styleId="IntenseReference">
    <w:name w:val="Intense Reference"/>
    <w:basedOn w:val="DefaultParagraphFont"/>
    <w:uiPriority w:val="32"/>
    <w:qFormat/>
    <w:rsid w:val="00AC1978"/>
    <w:rPr>
      <w:b/>
      <w:bCs/>
      <w:smallCaps/>
      <w:color w:val="2F5496" w:themeColor="accent1" w:themeShade="BF"/>
      <w:spacing w:val="5"/>
    </w:rPr>
  </w:style>
  <w:style w:type="table" w:styleId="TableGrid">
    <w:name w:val="Table Grid"/>
    <w:basedOn w:val="TableNormal"/>
    <w:uiPriority w:val="39"/>
    <w:rsid w:val="00A2091F"/>
    <w:pPr>
      <w:spacing w:after="0" w:line="240" w:lineRule="auto"/>
    </w:pPr>
    <w:rPr>
      <w:rFonts w:eastAsiaTheme="minorEastAsia"/>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2026-06-17T06:49:00Z</dcterms:created>
  <dcterms:modified xsi:type="dcterms:W3CDTF">2026-06-17T06:49:00Z</dcterms:modified>
</cp:coreProperties>
</file>