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CA31" w14:textId="4A4649D9" w:rsidR="004E26FC" w:rsidRPr="006727DB" w:rsidRDefault="004E26FC" w:rsidP="004E26FC">
      <w:pPr>
        <w:suppressAutoHyphens w:val="0"/>
        <w:adjustRightInd w:val="0"/>
        <w:snapToGrid w:val="0"/>
        <w:spacing w:line="240" w:lineRule="auto"/>
        <w:jc w:val="left"/>
        <w:rPr>
          <w:b/>
          <w:lang w:val="en-SG" w:eastAsia="en-SG"/>
        </w:rPr>
      </w:pPr>
      <w:proofErr w:type="spellStart"/>
      <w:r w:rsidRPr="006727DB">
        <w:rPr>
          <w:b/>
          <w:lang w:val="en-SG" w:eastAsia="en-SG"/>
        </w:rPr>
        <w:t>Suppl</w:t>
      </w:r>
      <w:proofErr w:type="spellEnd"/>
      <w:r w:rsidRPr="006727DB">
        <w:rPr>
          <w:b/>
          <w:lang w:val="en-SG" w:eastAsia="en-SG"/>
        </w:rPr>
        <w:t xml:space="preserve"> 1. </w:t>
      </w:r>
      <w:r w:rsidRPr="004E26FC">
        <w:rPr>
          <w:bCs/>
          <w:lang w:val="en-SG" w:eastAsia="en-SG"/>
        </w:rPr>
        <w:t>Overview of studies on 18FDG-PET/CT in OAMZL, from 2010 to 2025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2"/>
        <w:gridCol w:w="1536"/>
        <w:gridCol w:w="1403"/>
        <w:gridCol w:w="1396"/>
        <w:gridCol w:w="3773"/>
      </w:tblGrid>
      <w:tr w:rsidR="004E26FC" w:rsidRPr="006727DB" w14:paraId="713CE534" w14:textId="77777777" w:rsidTr="00B04616">
        <w:tc>
          <w:tcPr>
            <w:tcW w:w="599" w:type="pct"/>
          </w:tcPr>
          <w:p w14:paraId="138C90CC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</w:rPr>
            </w:pPr>
            <w:r w:rsidRPr="00B04616">
              <w:rPr>
                <w:b/>
                <w:bCs/>
              </w:rPr>
              <w:t>Reference</w:t>
            </w:r>
          </w:p>
        </w:tc>
        <w:tc>
          <w:tcPr>
            <w:tcW w:w="560" w:type="pct"/>
          </w:tcPr>
          <w:p w14:paraId="129B912B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</w:rPr>
            </w:pPr>
            <w:r w:rsidRPr="00B04616">
              <w:rPr>
                <w:b/>
                <w:bCs/>
              </w:rPr>
              <w:t>Study type</w:t>
            </w:r>
          </w:p>
        </w:tc>
        <w:tc>
          <w:tcPr>
            <w:tcW w:w="796" w:type="pct"/>
          </w:tcPr>
          <w:p w14:paraId="751CD4CB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</w:rPr>
            </w:pPr>
            <w:r w:rsidRPr="00B04616">
              <w:rPr>
                <w:b/>
                <w:bCs/>
              </w:rPr>
              <w:t>Number of patients studied</w:t>
            </w:r>
          </w:p>
        </w:tc>
        <w:tc>
          <w:tcPr>
            <w:tcW w:w="717" w:type="pct"/>
          </w:tcPr>
          <w:p w14:paraId="6E1C5618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</w:rPr>
            </w:pPr>
            <w:r w:rsidRPr="00B04616">
              <w:rPr>
                <w:b/>
                <w:bCs/>
              </w:rPr>
              <w:t>Ocular sites for OAMZL</w:t>
            </w:r>
          </w:p>
        </w:tc>
        <w:tc>
          <w:tcPr>
            <w:tcW w:w="2328" w:type="pct"/>
          </w:tcPr>
          <w:p w14:paraId="501FDBB7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  <w:rPr>
                <w:b/>
                <w:bCs/>
              </w:rPr>
            </w:pPr>
            <w:r w:rsidRPr="00B04616">
              <w:rPr>
                <w:b/>
                <w:bCs/>
              </w:rPr>
              <w:t>Key findings</w:t>
            </w:r>
          </w:p>
        </w:tc>
      </w:tr>
      <w:tr w:rsidR="004E26FC" w:rsidRPr="006727DB" w14:paraId="5CD01E88" w14:textId="77777777" w:rsidTr="00B04616">
        <w:tc>
          <w:tcPr>
            <w:tcW w:w="599" w:type="pct"/>
          </w:tcPr>
          <w:p w14:paraId="4831E10B" w14:textId="33453F05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 xml:space="preserve">Zanni et al. (2012) </w:t>
            </w:r>
            <w:r w:rsidR="00EA75BA">
              <w:t>[1]</w:t>
            </w:r>
          </w:p>
        </w:tc>
        <w:tc>
          <w:tcPr>
            <w:tcW w:w="560" w:type="pct"/>
          </w:tcPr>
          <w:p w14:paraId="3C93453A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Retrospective</w:t>
            </w:r>
          </w:p>
        </w:tc>
        <w:tc>
          <w:tcPr>
            <w:tcW w:w="796" w:type="pct"/>
          </w:tcPr>
          <w:p w14:paraId="78D3A0ED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26 (OAMZL); 41 (total cohort of ocular adnexal lymphoma (OAL))</w:t>
            </w:r>
          </w:p>
        </w:tc>
        <w:tc>
          <w:tcPr>
            <w:tcW w:w="717" w:type="pct"/>
          </w:tcPr>
          <w:p w14:paraId="69D1A2A6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Orbit, lacrimal gland, conjunctiva, eyelid</w:t>
            </w:r>
          </w:p>
        </w:tc>
        <w:tc>
          <w:tcPr>
            <w:tcW w:w="2328" w:type="pct"/>
          </w:tcPr>
          <w:p w14:paraId="2A59B291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>18FDG-PET/CT was positive in 50% of ocular adnexal marginal zone lymphomas (OAMZL), while CT was positive in 79% of OAMZL</w:t>
            </w:r>
          </w:p>
          <w:p w14:paraId="4E242C9B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 xml:space="preserve">In view of the very high sensitivity of MRI and/or CT in the detection of ocular lymphoma sites, especially conjunctival involvement, 18FDG-PET/CT imaging is not very useful for the diagnosis of ocular adnexal lesions  </w:t>
            </w:r>
          </w:p>
        </w:tc>
      </w:tr>
      <w:tr w:rsidR="004E26FC" w:rsidRPr="006727DB" w14:paraId="4491999D" w14:textId="77777777" w:rsidTr="00B04616">
        <w:tc>
          <w:tcPr>
            <w:tcW w:w="599" w:type="pct"/>
          </w:tcPr>
          <w:p w14:paraId="37303AA6" w14:textId="3AD00DBE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 xml:space="preserve">Nasser et al. (2014) </w:t>
            </w:r>
            <w:r w:rsidR="00EA75BA">
              <w:t>[2]</w:t>
            </w:r>
          </w:p>
        </w:tc>
        <w:tc>
          <w:tcPr>
            <w:tcW w:w="560" w:type="pct"/>
          </w:tcPr>
          <w:p w14:paraId="5046B3B7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Retrospective</w:t>
            </w:r>
          </w:p>
        </w:tc>
        <w:tc>
          <w:tcPr>
            <w:tcW w:w="796" w:type="pct"/>
          </w:tcPr>
          <w:p w14:paraId="43696346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18 (total OAMZL patients that underwent 18FDG-PET/CT); 21 (total cohort of OAMZL)</w:t>
            </w:r>
          </w:p>
        </w:tc>
        <w:tc>
          <w:tcPr>
            <w:tcW w:w="717" w:type="pct"/>
          </w:tcPr>
          <w:p w14:paraId="3D124E92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Conjunctiva</w:t>
            </w:r>
          </w:p>
        </w:tc>
        <w:tc>
          <w:tcPr>
            <w:tcW w:w="2328" w:type="pct"/>
          </w:tcPr>
          <w:p w14:paraId="025CFE3A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 xml:space="preserve">Only two of 18 patients who underwent whole body PET/CT imaging had hypermetabolic focus </w:t>
            </w:r>
            <w:proofErr w:type="gramStart"/>
            <w:r w:rsidRPr="00B04616">
              <w:t>in the area of</w:t>
            </w:r>
            <w:proofErr w:type="gramEnd"/>
            <w:r w:rsidRPr="00B04616">
              <w:t xml:space="preserve"> the conjunctival lesion</w:t>
            </w:r>
          </w:p>
        </w:tc>
      </w:tr>
      <w:tr w:rsidR="004E26FC" w:rsidRPr="006727DB" w14:paraId="2DEB134B" w14:textId="77777777" w:rsidTr="00B04616">
        <w:tc>
          <w:tcPr>
            <w:tcW w:w="599" w:type="pct"/>
          </w:tcPr>
          <w:p w14:paraId="20BEEBC3" w14:textId="6120834F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 xml:space="preserve">English and Sullivan (2015) </w:t>
            </w:r>
            <w:r w:rsidR="00EA75BA">
              <w:t>[3]</w:t>
            </w:r>
          </w:p>
        </w:tc>
        <w:tc>
          <w:tcPr>
            <w:tcW w:w="560" w:type="pct"/>
          </w:tcPr>
          <w:p w14:paraId="57676C82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Retrospective</w:t>
            </w:r>
          </w:p>
        </w:tc>
        <w:tc>
          <w:tcPr>
            <w:tcW w:w="796" w:type="pct"/>
          </w:tcPr>
          <w:p w14:paraId="35BA9ACF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14 (OAMZL); 31 (total cohort of OAL)</w:t>
            </w:r>
          </w:p>
        </w:tc>
        <w:tc>
          <w:tcPr>
            <w:tcW w:w="717" w:type="pct"/>
          </w:tcPr>
          <w:p w14:paraId="52D1BA09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 xml:space="preserve">Orbit, lacrimal gland, conjunctiva, eyelid, lacrimal drainage apparatus </w:t>
            </w:r>
          </w:p>
        </w:tc>
        <w:tc>
          <w:tcPr>
            <w:tcW w:w="2328" w:type="pct"/>
          </w:tcPr>
          <w:p w14:paraId="52DAC602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>18FDG-PET/CT is less sensitive than CT in detecting ocular adnexal lymphoproliferative disease</w:t>
            </w:r>
          </w:p>
        </w:tc>
      </w:tr>
      <w:tr w:rsidR="004E26FC" w:rsidRPr="006727DB" w14:paraId="3777D786" w14:textId="77777777" w:rsidTr="00B04616">
        <w:tc>
          <w:tcPr>
            <w:tcW w:w="599" w:type="pct"/>
          </w:tcPr>
          <w:p w14:paraId="2E4FF28C" w14:textId="18FAD108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lastRenderedPageBreak/>
              <w:t xml:space="preserve">Thuro et al. (2017) </w:t>
            </w:r>
            <w:r w:rsidR="00F61094">
              <w:t>[4]</w:t>
            </w:r>
          </w:p>
        </w:tc>
        <w:tc>
          <w:tcPr>
            <w:tcW w:w="560" w:type="pct"/>
          </w:tcPr>
          <w:p w14:paraId="4C18B794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Retrospective</w:t>
            </w:r>
          </w:p>
        </w:tc>
        <w:tc>
          <w:tcPr>
            <w:tcW w:w="796" w:type="pct"/>
          </w:tcPr>
          <w:p w14:paraId="6B4796FC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61 (OAMZL); 119 (total cohort of OAL)</w:t>
            </w:r>
          </w:p>
        </w:tc>
        <w:tc>
          <w:tcPr>
            <w:tcW w:w="717" w:type="pct"/>
          </w:tcPr>
          <w:p w14:paraId="347822CE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Not specified</w:t>
            </w:r>
          </w:p>
        </w:tc>
        <w:tc>
          <w:tcPr>
            <w:tcW w:w="2328" w:type="pct"/>
          </w:tcPr>
          <w:p w14:paraId="7FDC09FB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>More than one-third of patients with primary OAL had evidence of systemic involvement in 18FDG-PET/CT at initial diagnosis</w:t>
            </w:r>
          </w:p>
        </w:tc>
      </w:tr>
      <w:tr w:rsidR="004E26FC" w:rsidRPr="006727DB" w14:paraId="646ADAFC" w14:textId="77777777" w:rsidTr="00B04616">
        <w:tc>
          <w:tcPr>
            <w:tcW w:w="599" w:type="pct"/>
          </w:tcPr>
          <w:p w14:paraId="0B93F48B" w14:textId="77B03241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 xml:space="preserve">Fujii et al. (2018) </w:t>
            </w:r>
            <w:r w:rsidR="00F61094">
              <w:t>[5]</w:t>
            </w:r>
          </w:p>
        </w:tc>
        <w:tc>
          <w:tcPr>
            <w:tcW w:w="560" w:type="pct"/>
          </w:tcPr>
          <w:p w14:paraId="46192933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Retrospective</w:t>
            </w:r>
          </w:p>
        </w:tc>
        <w:tc>
          <w:tcPr>
            <w:tcW w:w="796" w:type="pct"/>
          </w:tcPr>
          <w:p w14:paraId="4E4E65EA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2 (OAMZL); 9 (total cohort of OAMZL)</w:t>
            </w:r>
          </w:p>
        </w:tc>
        <w:tc>
          <w:tcPr>
            <w:tcW w:w="717" w:type="pct"/>
          </w:tcPr>
          <w:p w14:paraId="30A89A6D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 xml:space="preserve">Orbit, conjunctiva </w:t>
            </w:r>
          </w:p>
        </w:tc>
        <w:tc>
          <w:tcPr>
            <w:tcW w:w="2328" w:type="pct"/>
          </w:tcPr>
          <w:p w14:paraId="4F3907F6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>Patient with orbital OAMZL had a downtrend in post-treatment 18FDG-PET/CT metabolic score after treatment, while the patient with conjunctiva OAMZL could not be detected by 18FDG-PET/CT</w:t>
            </w:r>
          </w:p>
          <w:p w14:paraId="59F34354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>18FDG-PET/CT is useful for evaluating the response of OAL to treatment (surgery, radiotherapy and chemotherapy)</w:t>
            </w:r>
          </w:p>
        </w:tc>
      </w:tr>
      <w:tr w:rsidR="004E26FC" w:rsidRPr="006727DB" w14:paraId="26C9C87C" w14:textId="77777777" w:rsidTr="00B04616">
        <w:tc>
          <w:tcPr>
            <w:tcW w:w="599" w:type="pct"/>
          </w:tcPr>
          <w:p w14:paraId="725FDDD8" w14:textId="04545CC8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 xml:space="preserve">Park et al. (2019) </w:t>
            </w:r>
            <w:r w:rsidR="00F61094">
              <w:t>[6]</w:t>
            </w:r>
          </w:p>
        </w:tc>
        <w:tc>
          <w:tcPr>
            <w:tcW w:w="560" w:type="pct"/>
          </w:tcPr>
          <w:p w14:paraId="62CEA1AD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Retrospective</w:t>
            </w:r>
          </w:p>
        </w:tc>
        <w:tc>
          <w:tcPr>
            <w:tcW w:w="796" w:type="pct"/>
          </w:tcPr>
          <w:p w14:paraId="2C1D4D94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50 (non-conjunctival OAMZL); 123 (total cohort of OAMZL)</w:t>
            </w:r>
          </w:p>
        </w:tc>
        <w:tc>
          <w:tcPr>
            <w:tcW w:w="717" w:type="pct"/>
          </w:tcPr>
          <w:p w14:paraId="7B35F789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Orbit, lacrimal gland, eyelid</w:t>
            </w:r>
          </w:p>
        </w:tc>
        <w:tc>
          <w:tcPr>
            <w:tcW w:w="2328" w:type="pct"/>
          </w:tcPr>
          <w:p w14:paraId="60663BA1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 xml:space="preserve">50 out of 60 (83.3%) non-conjunctival OAMZL lesions were FDG-avid with mean </w:t>
            </w:r>
            <w:r w:rsidRPr="00B04616">
              <w:rPr>
                <w:shd w:val="clear" w:color="auto" w:fill="FFFFFF"/>
              </w:rPr>
              <w:t>± standard deviation SUVmax of 4.8 ± 2.4 (range, 2.0-11.1)</w:t>
            </w:r>
          </w:p>
          <w:p w14:paraId="4D0A68E1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>Mean SUVmax of orbit was significantly higher than that of lacrimal gland or eyelid</w:t>
            </w:r>
          </w:p>
          <w:p w14:paraId="23664DF7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lastRenderedPageBreak/>
              <w:t xml:space="preserve">14% of primary OAMZL patients had extra-ocular involvement detected by 18FDG-PET/CT and were upstaged to stage IIE or IVE, suggesting that 18FDG-PET/CT should be performed for staging of non-conjunctival origin OAMZL to guide treatment </w:t>
            </w:r>
          </w:p>
        </w:tc>
      </w:tr>
      <w:tr w:rsidR="004E26FC" w:rsidRPr="006727DB" w14:paraId="6455344D" w14:textId="77777777" w:rsidTr="00B04616">
        <w:tc>
          <w:tcPr>
            <w:tcW w:w="599" w:type="pct"/>
          </w:tcPr>
          <w:p w14:paraId="261D0907" w14:textId="569EA993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lastRenderedPageBreak/>
              <w:t xml:space="preserve">Wang et al. (2022) </w:t>
            </w:r>
            <w:r w:rsidR="00F61094">
              <w:t>[7]</w:t>
            </w:r>
          </w:p>
        </w:tc>
        <w:tc>
          <w:tcPr>
            <w:tcW w:w="560" w:type="pct"/>
          </w:tcPr>
          <w:p w14:paraId="42F00C10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Retrospective</w:t>
            </w:r>
          </w:p>
        </w:tc>
        <w:tc>
          <w:tcPr>
            <w:tcW w:w="796" w:type="pct"/>
          </w:tcPr>
          <w:p w14:paraId="0E0B9656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70</w:t>
            </w:r>
          </w:p>
        </w:tc>
        <w:tc>
          <w:tcPr>
            <w:tcW w:w="717" w:type="pct"/>
          </w:tcPr>
          <w:p w14:paraId="6D931085" w14:textId="77777777" w:rsidR="004E26FC" w:rsidRPr="00B04616" w:rsidRDefault="004E26FC" w:rsidP="00B04616">
            <w:pPr>
              <w:adjustRightInd w:val="0"/>
              <w:snapToGrid w:val="0"/>
              <w:spacing w:line="240" w:lineRule="auto"/>
              <w:jc w:val="left"/>
            </w:pPr>
            <w:r w:rsidRPr="00B04616">
              <w:t>Orbit, lacrimal gland, conjunctiva</w:t>
            </w:r>
          </w:p>
        </w:tc>
        <w:tc>
          <w:tcPr>
            <w:tcW w:w="2328" w:type="pct"/>
          </w:tcPr>
          <w:p w14:paraId="3DEDAFC2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 xml:space="preserve">80% of the OAMZL patients were FDG-avid with a median SUVmax level of 4.65 </w:t>
            </w:r>
            <w:r w:rsidRPr="00B04616">
              <w:rPr>
                <w:shd w:val="clear" w:color="auto" w:fill="FFFFFF"/>
              </w:rPr>
              <w:t>± 3.00</w:t>
            </w:r>
          </w:p>
          <w:p w14:paraId="627C7F9D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>92.0% of the mass forming lesions showed FDG-avidity, while only 50.0% of the non-massive lesions had FDG-avidity</w:t>
            </w:r>
          </w:p>
          <w:p w14:paraId="5D389794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>FDG-avidity was correlated with high Ki-67 score (&gt;15%) in OAMZL, however, SUVmax was not correlated with the Ki-67 score</w:t>
            </w:r>
          </w:p>
          <w:p w14:paraId="5F1BF808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t xml:space="preserve">SUVmax of OAMZL orbit masses were significant elevated as compared to those of the conjunctiva and lacrimal gland </w:t>
            </w:r>
          </w:p>
          <w:p w14:paraId="4F0740FE" w14:textId="77777777" w:rsidR="004E26FC" w:rsidRPr="00B04616" w:rsidRDefault="004E26FC" w:rsidP="004E26FC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B04616">
              <w:lastRenderedPageBreak/>
              <w:t xml:space="preserve">FDG-avid OAMZL cases were more likely to achieve complete remission (CR) (70.4% achieved CR) as compared to non-FDG-avid cases (30.8% achieved CR), while SUVmax was not correlated with </w:t>
            </w:r>
            <w:proofErr w:type="spellStart"/>
            <w:r>
              <w:t>tumor</w:t>
            </w:r>
            <w:proofErr w:type="spellEnd"/>
            <w:r w:rsidRPr="00B04616">
              <w:t xml:space="preserve"> remission rate</w:t>
            </w:r>
          </w:p>
        </w:tc>
      </w:tr>
    </w:tbl>
    <w:p w14:paraId="33C45A9F" w14:textId="77777777" w:rsidR="004E26FC" w:rsidRDefault="004E26FC" w:rsidP="004E26FC">
      <w:pPr>
        <w:suppressAutoHyphens w:val="0"/>
        <w:adjustRightInd w:val="0"/>
        <w:snapToGrid w:val="0"/>
        <w:spacing w:line="240" w:lineRule="auto"/>
        <w:jc w:val="left"/>
        <w:rPr>
          <w:b/>
          <w:bCs/>
          <w:lang w:eastAsia="en-SG"/>
        </w:rPr>
      </w:pPr>
    </w:p>
    <w:p w14:paraId="0ED547C7" w14:textId="48A50AD0" w:rsidR="004E26FC" w:rsidRDefault="007E0EC8" w:rsidP="004E26FC">
      <w:pPr>
        <w:suppressAutoHyphens w:val="0"/>
        <w:adjustRightInd w:val="0"/>
        <w:snapToGrid w:val="0"/>
        <w:spacing w:line="240" w:lineRule="auto"/>
        <w:jc w:val="left"/>
        <w:rPr>
          <w:b/>
          <w:bCs/>
          <w:lang w:eastAsia="en-SG"/>
        </w:rPr>
      </w:pPr>
      <w:r>
        <w:rPr>
          <w:b/>
          <w:bCs/>
          <w:lang w:eastAsia="en-SG"/>
        </w:rPr>
        <w:t>References:</w:t>
      </w:r>
    </w:p>
    <w:p w14:paraId="272F51BF" w14:textId="77777777" w:rsidR="004E26FC" w:rsidRDefault="004E26FC" w:rsidP="004E26FC">
      <w:pPr>
        <w:suppressAutoHyphens w:val="0"/>
        <w:adjustRightInd w:val="0"/>
        <w:snapToGrid w:val="0"/>
        <w:spacing w:line="240" w:lineRule="auto"/>
        <w:jc w:val="left"/>
        <w:rPr>
          <w:b/>
          <w:bCs/>
          <w:lang w:eastAsia="en-SG"/>
        </w:rPr>
      </w:pPr>
    </w:p>
    <w:p w14:paraId="0F6A5E9B" w14:textId="0986E6C4" w:rsidR="004F5CA0" w:rsidRDefault="00EA75BA">
      <w:r>
        <w:t>1.</w:t>
      </w:r>
      <w:r w:rsidRPr="00EA75BA">
        <w:t>Zanni M, Moulin-</w:t>
      </w:r>
      <w:proofErr w:type="spellStart"/>
      <w:r w:rsidRPr="00EA75BA">
        <w:t>Romsee</w:t>
      </w:r>
      <w:proofErr w:type="spellEnd"/>
      <w:r w:rsidRPr="00EA75BA">
        <w:t xml:space="preserve"> G, </w:t>
      </w:r>
      <w:proofErr w:type="spellStart"/>
      <w:r w:rsidRPr="00EA75BA">
        <w:t>Servois</w:t>
      </w:r>
      <w:proofErr w:type="spellEnd"/>
      <w:r w:rsidRPr="00EA75BA">
        <w:t xml:space="preserve"> V, </w:t>
      </w:r>
      <w:proofErr w:type="spellStart"/>
      <w:r w:rsidRPr="00EA75BA">
        <w:t>Validire</w:t>
      </w:r>
      <w:proofErr w:type="spellEnd"/>
      <w:r w:rsidRPr="00EA75BA">
        <w:t xml:space="preserve"> P, </w:t>
      </w:r>
      <w:proofErr w:type="spellStart"/>
      <w:r w:rsidRPr="00EA75BA">
        <w:t>Bénamor</w:t>
      </w:r>
      <w:proofErr w:type="spellEnd"/>
      <w:r w:rsidRPr="00EA75BA">
        <w:t xml:space="preserve"> M, Plancher C, et al. Value of 18FDG PET scan in staging of ocular adnexal lymphomas: a large single-center experience. Hematology. 2012 Mar;17(2):76–84.</w:t>
      </w:r>
    </w:p>
    <w:p w14:paraId="565873A5" w14:textId="2CCC50C4" w:rsidR="00EA75BA" w:rsidRDefault="00EA75BA">
      <w:r>
        <w:t>2.</w:t>
      </w:r>
      <w:r w:rsidRPr="00EA75BA">
        <w:t xml:space="preserve"> </w:t>
      </w:r>
      <w:r w:rsidRPr="00EA75BA">
        <w:t>Nasser QJ, Pfeiffer ML, Romaguera J, Fowler N, Debnam JM, Samaniego F, et al. Clinical value of magnetic resonance imaging and other baseline testing for conjunctival mucosa-associated lymphoid tissue lymphoma. Leuk Lymphoma. 2014 May;55(5):1013–7</w:t>
      </w:r>
    </w:p>
    <w:p w14:paraId="6E4AFFB6" w14:textId="0F939B79" w:rsidR="00EA75BA" w:rsidRDefault="00EA75BA">
      <w:pPr>
        <w:rPr>
          <w:rFonts w:ascii="Calibri" w:hAnsi="Calibri" w:cs="Calibri"/>
        </w:rPr>
      </w:pPr>
      <w:r>
        <w:t>3.</w:t>
      </w:r>
      <w:r w:rsidRPr="00EA75BA">
        <w:rPr>
          <w:rFonts w:ascii="Calibri" w:hAnsi="Calibri" w:cs="Calibri"/>
        </w:rPr>
        <w:t xml:space="preserve"> </w:t>
      </w:r>
      <w:r w:rsidRPr="007E0BE9">
        <w:rPr>
          <w:rFonts w:ascii="Calibri" w:hAnsi="Calibri" w:cs="Calibri"/>
        </w:rPr>
        <w:t>English JF, Sullivan TJ. The Role of FDG-PET in the Diagnosis and Staging of Ocular Adnexal Lymphoproliferative Disease. Orbit. 2015;34(5):284–91.</w:t>
      </w:r>
    </w:p>
    <w:p w14:paraId="618F7A16" w14:textId="45C17D9A" w:rsidR="00EA75BA" w:rsidRDefault="00F61094">
      <w:pPr>
        <w:rPr>
          <w:rFonts w:ascii="Calibri" w:hAnsi="Calibri" w:cs="Calibri"/>
        </w:rPr>
      </w:pPr>
      <w:r>
        <w:t>4.</w:t>
      </w:r>
      <w:r w:rsidRPr="00F61094">
        <w:rPr>
          <w:rFonts w:ascii="Calibri" w:hAnsi="Calibri" w:cs="Calibri"/>
        </w:rPr>
        <w:t xml:space="preserve"> </w:t>
      </w:r>
      <w:r w:rsidRPr="007E0BE9">
        <w:rPr>
          <w:rFonts w:ascii="Calibri" w:hAnsi="Calibri" w:cs="Calibri"/>
        </w:rPr>
        <w:t xml:space="preserve">Thuro BA, Ning J, Peng SA, Pace ST, Dudeja G, Ozgur O, et al. Rates of Positive Findings on Positron Emission Tomography and Bone Marrow Biopsy in Patients </w:t>
      </w:r>
      <w:proofErr w:type="gramStart"/>
      <w:r w:rsidRPr="007E0BE9">
        <w:rPr>
          <w:rFonts w:ascii="Calibri" w:hAnsi="Calibri" w:cs="Calibri"/>
        </w:rPr>
        <w:t>With</w:t>
      </w:r>
      <w:proofErr w:type="gramEnd"/>
      <w:r w:rsidRPr="007E0BE9">
        <w:rPr>
          <w:rFonts w:ascii="Calibri" w:hAnsi="Calibri" w:cs="Calibri"/>
        </w:rPr>
        <w:t xml:space="preserve"> Ocular Adnexal Lymphoma. Ophthalmic Plast </w:t>
      </w:r>
      <w:proofErr w:type="spellStart"/>
      <w:r w:rsidRPr="007E0BE9">
        <w:rPr>
          <w:rFonts w:ascii="Calibri" w:hAnsi="Calibri" w:cs="Calibri"/>
        </w:rPr>
        <w:t>Reconstr</w:t>
      </w:r>
      <w:proofErr w:type="spellEnd"/>
      <w:r w:rsidRPr="007E0BE9">
        <w:rPr>
          <w:rFonts w:ascii="Calibri" w:hAnsi="Calibri" w:cs="Calibri"/>
        </w:rPr>
        <w:t xml:space="preserve"> Surg. 2017;33(5):355–60.</w:t>
      </w:r>
    </w:p>
    <w:p w14:paraId="7939F13A" w14:textId="5781A042" w:rsidR="00F61094" w:rsidRDefault="00F61094">
      <w:pPr>
        <w:rPr>
          <w:rFonts w:ascii="Calibri" w:hAnsi="Calibri" w:cs="Calibri"/>
        </w:rPr>
      </w:pPr>
      <w:r>
        <w:t>5.</w:t>
      </w:r>
      <w:r w:rsidRPr="00F61094">
        <w:rPr>
          <w:rFonts w:ascii="Calibri" w:hAnsi="Calibri" w:cs="Calibri"/>
        </w:rPr>
        <w:t xml:space="preserve"> </w:t>
      </w:r>
      <w:r w:rsidRPr="007E0BE9">
        <w:rPr>
          <w:rFonts w:ascii="Calibri" w:hAnsi="Calibri" w:cs="Calibri"/>
        </w:rPr>
        <w:t>Fujii H, Tanaka H, Nomoto Y, Harata N, Oota S, Isogai J, et al. Usefulness of 18F-FDG PET/CT for evaluating response of ocular adnexal lymphoma to treatment. Medicine (Baltimore). 2018 Apr;97(17</w:t>
      </w:r>
      <w:proofErr w:type="gramStart"/>
      <w:r w:rsidRPr="007E0BE9">
        <w:rPr>
          <w:rFonts w:ascii="Calibri" w:hAnsi="Calibri" w:cs="Calibri"/>
        </w:rPr>
        <w:t>):e</w:t>
      </w:r>
      <w:proofErr w:type="gramEnd"/>
      <w:r w:rsidRPr="007E0BE9">
        <w:rPr>
          <w:rFonts w:ascii="Calibri" w:hAnsi="Calibri" w:cs="Calibri"/>
        </w:rPr>
        <w:t>0543.</w:t>
      </w:r>
    </w:p>
    <w:p w14:paraId="515D0E02" w14:textId="3F89A1C0" w:rsidR="00F61094" w:rsidRDefault="00F6109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</w:t>
      </w:r>
      <w:r w:rsidRPr="00F61094">
        <w:rPr>
          <w:rFonts w:ascii="Calibri" w:hAnsi="Calibri" w:cs="Calibri"/>
        </w:rPr>
        <w:t xml:space="preserve"> </w:t>
      </w:r>
      <w:r w:rsidRPr="007E0BE9">
        <w:rPr>
          <w:rFonts w:ascii="Calibri" w:hAnsi="Calibri" w:cs="Calibri"/>
        </w:rPr>
        <w:t>Park HL, O JH, Park SY, Jung SE, Park G, Choi BO, et al. Role of F-18 FDG PET/CT in non-conjunctival origin ocular adnexal mucosa-associated lymphoid tissue (MALT) lymphomas. EJNMMI Research. 2019 Nov 21;9(1):99.</w:t>
      </w:r>
    </w:p>
    <w:p w14:paraId="0E012B50" w14:textId="4CE4F719" w:rsidR="00F61094" w:rsidRDefault="00F61094">
      <w:r>
        <w:rPr>
          <w:rFonts w:ascii="Calibri" w:hAnsi="Calibri" w:cs="Calibri"/>
        </w:rPr>
        <w:t>7.</w:t>
      </w:r>
      <w:r w:rsidRPr="00F61094">
        <w:rPr>
          <w:rFonts w:ascii="Calibri" w:hAnsi="Calibri" w:cs="Calibri"/>
        </w:rPr>
        <w:t xml:space="preserve"> </w:t>
      </w:r>
      <w:r w:rsidRPr="007E0BE9">
        <w:rPr>
          <w:rFonts w:ascii="Calibri" w:hAnsi="Calibri" w:cs="Calibri"/>
        </w:rPr>
        <w:t xml:space="preserve">Wang W, Ni X, Tang T, Wang J, Li Y, Song X. The role of 18F-FDG PET/CT in diagnosis and treatment evaluation for ocular adnexal mucosa-associated lymphoid tissue lymphoma. Br J </w:t>
      </w:r>
      <w:proofErr w:type="spellStart"/>
      <w:r w:rsidRPr="007E0BE9">
        <w:rPr>
          <w:rFonts w:ascii="Calibri" w:hAnsi="Calibri" w:cs="Calibri"/>
        </w:rPr>
        <w:t>Radiol</w:t>
      </w:r>
      <w:proofErr w:type="spellEnd"/>
      <w:r w:rsidRPr="007E0BE9">
        <w:rPr>
          <w:rFonts w:ascii="Calibri" w:hAnsi="Calibri" w:cs="Calibri"/>
        </w:rPr>
        <w:t>. 2022 Feb 1;95(1130):20210635.</w:t>
      </w:r>
    </w:p>
    <w:sectPr w:rsidR="00F6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81C19"/>
    <w:multiLevelType w:val="hybridMultilevel"/>
    <w:tmpl w:val="1F2A0F46"/>
    <w:lvl w:ilvl="0" w:tplc="072EB9DE">
      <w:start w:val="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1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FC"/>
    <w:rsid w:val="00067368"/>
    <w:rsid w:val="004E26FC"/>
    <w:rsid w:val="004E3CCB"/>
    <w:rsid w:val="004F5CA0"/>
    <w:rsid w:val="007E0EC8"/>
    <w:rsid w:val="008523BB"/>
    <w:rsid w:val="00EA75BA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E8FF"/>
  <w15:chartTrackingRefBased/>
  <w15:docId w15:val="{B4104D48-91F1-404E-8067-70111EE6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FC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6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6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6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6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6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6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6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6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6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6F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6F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6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6F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6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6F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6FC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4E26FC"/>
    <w:pPr>
      <w:spacing w:after="0" w:line="240" w:lineRule="auto"/>
    </w:pPr>
    <w:rPr>
      <w:sz w:val="24"/>
      <w:szCs w:val="24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682</Words>
  <Characters>3889</Characters>
  <Application>Microsoft Office Word</Application>
  <DocSecurity>0</DocSecurity>
  <Lines>32</Lines>
  <Paragraphs>9</Paragraphs>
  <ScaleCrop>false</ScaleCrop>
  <Company>Grizli777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5</cp:revision>
  <dcterms:created xsi:type="dcterms:W3CDTF">2025-08-09T02:54:00Z</dcterms:created>
  <dcterms:modified xsi:type="dcterms:W3CDTF">2025-08-09T19:00:00Z</dcterms:modified>
</cp:coreProperties>
</file>