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DB1" w:rsidRPr="00744E31" w:rsidRDefault="00C82DB1" w:rsidP="00C82DB1">
      <w:pPr>
        <w:adjustRightInd w:val="0"/>
        <w:snapToGrid w:val="0"/>
        <w:rPr>
          <w:rFonts w:ascii="Times New Roman" w:hAnsi="Times New Roman" w:cs="Times New Roman"/>
        </w:rPr>
      </w:pPr>
    </w:p>
    <w:p w:rsidR="00C82DB1" w:rsidRPr="008A3055" w:rsidRDefault="00C82DB1" w:rsidP="00C82DB1">
      <w:pPr>
        <w:adjustRightInd w:val="0"/>
        <w:snapToGrid w:val="0"/>
        <w:rPr>
          <w:rFonts w:ascii="Times New Roman" w:hAnsi="Times New Roman" w:cs="Times New Roman"/>
        </w:rPr>
      </w:pPr>
      <w:r w:rsidRPr="008A3055">
        <w:rPr>
          <w:rFonts w:ascii="Times New Roman" w:hAnsi="Times New Roman" w:cs="Times New Roman"/>
          <w:b/>
          <w:bCs/>
        </w:rPr>
        <w:t>Suppl 3.</w:t>
      </w:r>
      <w:r w:rsidRPr="008A3055">
        <w:rPr>
          <w:rFonts w:ascii="Times New Roman" w:hAnsi="Times New Roman" w:cs="Times New Roman"/>
        </w:rPr>
        <w:t xml:space="preserve"> Secondary variables in study population </w:t>
      </w:r>
      <w:r>
        <w:rPr>
          <w:rFonts w:ascii="Times New Roman" w:hAnsi="Times New Roman" w:cs="Times New Roman"/>
        </w:rPr>
        <w:t>(s</w:t>
      </w:r>
      <w:r w:rsidRPr="008A3055">
        <w:rPr>
          <w:rFonts w:ascii="Times New Roman" w:hAnsi="Times New Roman" w:cs="Times New Roman"/>
        </w:rPr>
        <w:t>econdary variables were not included in the multivariable analysis</w:t>
      </w:r>
      <w:r>
        <w:rPr>
          <w:rFonts w:ascii="Times New Roman" w:hAnsi="Times New Roman" w:cs="Times New Roman"/>
        </w:rPr>
        <w:t>)</w:t>
      </w:r>
      <w:r w:rsidRPr="008A3055">
        <w:rPr>
          <w:rFonts w:ascii="Times New Roman" w:hAnsi="Times New Roman" w:cs="Times New Roman"/>
        </w:rPr>
        <w:t>.</w:t>
      </w:r>
    </w:p>
    <w:p w:rsidR="00C82DB1" w:rsidRPr="008A3055" w:rsidRDefault="00C82DB1" w:rsidP="00C82DB1">
      <w:pPr>
        <w:adjustRightInd w:val="0"/>
        <w:snapToGrid w:val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275" w:type="dxa"/>
        <w:tblLook w:val="04A0"/>
      </w:tblPr>
      <w:tblGrid>
        <w:gridCol w:w="2879"/>
        <w:gridCol w:w="1476"/>
        <w:gridCol w:w="1513"/>
        <w:gridCol w:w="1485"/>
        <w:gridCol w:w="1483"/>
        <w:gridCol w:w="895"/>
      </w:tblGrid>
      <w:tr w:rsidR="00C82DB1" w:rsidRPr="008A3055" w:rsidTr="00744E31">
        <w:trPr>
          <w:trHeight w:val="900"/>
        </w:trPr>
        <w:tc>
          <w:tcPr>
            <w:tcW w:w="2879" w:type="dxa"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b/>
                <w:color w:val="000000" w:themeColor="text1"/>
              </w:rPr>
              <w:t>Characteristic</w:t>
            </w:r>
          </w:p>
        </w:tc>
        <w:tc>
          <w:tcPr>
            <w:tcW w:w="1476" w:type="dxa"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All</w:t>
            </w:r>
            <w:r w:rsidRPr="008A30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(n=69)</w:t>
            </w:r>
          </w:p>
        </w:tc>
        <w:tc>
          <w:tcPr>
            <w:tcW w:w="1513" w:type="dxa"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Early (0 – 9 months)</w:t>
            </w:r>
            <w:r w:rsidRPr="008A30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(n=28)</w:t>
            </w:r>
          </w:p>
        </w:tc>
        <w:tc>
          <w:tcPr>
            <w:tcW w:w="1485" w:type="dxa"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Late (≥10 months)</w:t>
            </w:r>
            <w:r w:rsidRPr="008A30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(n=41)</w:t>
            </w:r>
          </w:p>
        </w:tc>
        <w:tc>
          <w:tcPr>
            <w:tcW w:w="1377" w:type="dxa"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# Missing</w:t>
            </w:r>
          </w:p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(Early/Late)</w:t>
            </w:r>
          </w:p>
        </w:tc>
        <w:tc>
          <w:tcPr>
            <w:tcW w:w="895" w:type="dxa"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P-value</w:t>
            </w:r>
          </w:p>
        </w:tc>
      </w:tr>
      <w:tr w:rsidR="00C82DB1" w:rsidRPr="008A3055" w:rsidTr="00744E31">
        <w:trPr>
          <w:trHeight w:val="237"/>
        </w:trPr>
        <w:tc>
          <w:tcPr>
            <w:tcW w:w="9625" w:type="dxa"/>
            <w:gridSpan w:val="6"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Secondary Variables</w:t>
            </w:r>
          </w:p>
        </w:tc>
      </w:tr>
      <w:tr w:rsidR="00C82DB1" w:rsidRPr="008A3055" w:rsidTr="00744E31">
        <w:trPr>
          <w:trHeight w:val="900"/>
        </w:trPr>
        <w:tc>
          <w:tcPr>
            <w:tcW w:w="2879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Emicizumab supply issues at time of start (limitations present until April, 2022), n (%)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12 (17.4)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11 (39.3)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 (2.4)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&lt;.001</w:t>
            </w:r>
          </w:p>
        </w:tc>
      </w:tr>
      <w:tr w:rsidR="00C82DB1" w:rsidRPr="008A3055" w:rsidTr="00744E31">
        <w:trPr>
          <w:trHeight w:val="600"/>
        </w:trPr>
        <w:tc>
          <w:tcPr>
            <w:tcW w:w="2879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Number of agents (prior to Emicizumab) since January 2018, n (%)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0.81</w:t>
            </w: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tcMar>
              <w:left w:w="288" w:type="dxa"/>
              <w:right w:w="115" w:type="dxa"/>
            </w:tcMar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6 (8.7)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3 (10.7)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3 (7.3)</w:t>
            </w:r>
          </w:p>
        </w:tc>
        <w:tc>
          <w:tcPr>
            <w:tcW w:w="1377" w:type="dxa"/>
            <w:noWrap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noWrap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tcMar>
              <w:left w:w="288" w:type="dxa"/>
              <w:right w:w="115" w:type="dxa"/>
            </w:tcMar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43 (62.3)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16 (57.1)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27 (65.9)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tcMar>
              <w:left w:w="288" w:type="dxa"/>
              <w:right w:w="115" w:type="dxa"/>
            </w:tcMar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19 (27.5)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9 (32.1)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10 (24.4)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tcMar>
              <w:left w:w="288" w:type="dxa"/>
              <w:right w:w="115" w:type="dxa"/>
            </w:tcMar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 (1.4)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 (0.0)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 (2.4)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2DB1" w:rsidRPr="008A3055" w:rsidTr="00744E31">
        <w:trPr>
          <w:trHeight w:val="900"/>
        </w:trPr>
        <w:tc>
          <w:tcPr>
            <w:tcW w:w="2879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New to clinic during period of Emicizumab introduction (i.e. since November 2021), n (%)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9 (13.0)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3 (10.7)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6 (14.6)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0.73</w:t>
            </w: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Transitioned by which NP, n (%)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0.77</w:t>
            </w: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tcMar>
              <w:left w:w="288" w:type="dxa"/>
              <w:right w:w="115" w:type="dxa"/>
            </w:tcMar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NP #1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16 (23.2)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7 (25.0)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9 (22)</w:t>
            </w:r>
          </w:p>
        </w:tc>
        <w:tc>
          <w:tcPr>
            <w:tcW w:w="1377" w:type="dxa"/>
            <w:noWrap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noWrap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tcMar>
              <w:left w:w="288" w:type="dxa"/>
              <w:right w:w="115" w:type="dxa"/>
            </w:tcMar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NP #2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53 (76.8)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21 (75.0)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32 (78)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2DB1" w:rsidRPr="008A3055" w:rsidTr="00744E31">
        <w:trPr>
          <w:trHeight w:val="1200"/>
        </w:trPr>
        <w:tc>
          <w:tcPr>
            <w:tcW w:w="2879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Self-reported bleed in the past 2 weeks when completing the PROBE survey prior to Emicizumab initiation, n (%)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14 (26.9)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7 (25.9)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7 (28.0)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17 (1/16)</w:t>
            </w: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C82DB1" w:rsidRPr="008A3055" w:rsidTr="00744E31">
        <w:trPr>
          <w:trHeight w:val="900"/>
        </w:trPr>
        <w:tc>
          <w:tcPr>
            <w:tcW w:w="2879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If hemophilia or bleed is listed in 'top 3 health problems' on self-reported health questionnaire, n (%)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18 (34.6)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14 (51.9)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4 (16.0)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17 (1/16)</w:t>
            </w: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0.009</w:t>
            </w: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Arthritis, n (%)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42 (60.9)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17 (60.7)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25 (61)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0.98</w:t>
            </w:r>
          </w:p>
        </w:tc>
      </w:tr>
      <w:tr w:rsidR="00C82DB1" w:rsidRPr="008A3055" w:rsidTr="00744E31">
        <w:trPr>
          <w:trHeight w:val="600"/>
        </w:trPr>
        <w:tc>
          <w:tcPr>
            <w:tcW w:w="2879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Was Emicizumab discussed at last review, n (%)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53 (88.3)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23 (92.0)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30 (85.7)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9 (3/6)</w:t>
            </w: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0.69</w:t>
            </w: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Married or long-term relationship, n (%)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44 (63.8)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16 (57.1)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28 (68.3)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0.34</w:t>
            </w: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Male, n (%)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69 (100.0)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28 (100.0)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41 (100.0)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N/A</w:t>
            </w: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HIV, n (%)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10 (14.5)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8 (28.6)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 (4.9)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0.012</w:t>
            </w:r>
          </w:p>
        </w:tc>
      </w:tr>
      <w:tr w:rsidR="00C82DB1" w:rsidRPr="008A3055" w:rsidTr="00744E31">
        <w:trPr>
          <w:trHeight w:val="386"/>
        </w:trPr>
        <w:tc>
          <w:tcPr>
            <w:tcW w:w="2879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lastRenderedPageBreak/>
              <w:t>HCV (chronic diagnosis), n (%)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23 (34.3)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15 (55.6)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8 (20.0)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 (1/1)</w:t>
            </w: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0.003</w:t>
            </w:r>
          </w:p>
        </w:tc>
      </w:tr>
      <w:tr w:rsidR="00C82DB1" w:rsidRPr="008A3055" w:rsidTr="00744E31">
        <w:trPr>
          <w:trHeight w:val="341"/>
        </w:trPr>
        <w:tc>
          <w:tcPr>
            <w:tcW w:w="2879" w:type="dxa"/>
            <w:tcMar>
              <w:left w:w="288" w:type="dxa"/>
              <w:right w:w="115" w:type="dxa"/>
            </w:tcMar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If HCV - cleared, n (%)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21 (95.5)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13 (92.9)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8 (100.0)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 (1/0)</w:t>
            </w: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Chronic pain, n (%)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50 (72.5)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20 (71.4)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30 (73.2)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0.87</w:t>
            </w: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Acute pain, n (%)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29 (42.0)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15 (53.6)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14 (34.1)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0.108</w:t>
            </w: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164583989"/>
            <w:r w:rsidRPr="008A3055">
              <w:rPr>
                <w:rFonts w:ascii="Times New Roman" w:hAnsi="Times New Roman" w:cs="Times New Roman"/>
                <w:color w:val="000000" w:themeColor="text1"/>
              </w:rPr>
              <w:t># Joint surgeries</w:t>
            </w:r>
            <w:bookmarkEnd w:id="0"/>
            <w:r w:rsidRPr="008A3055">
              <w:rPr>
                <w:rFonts w:ascii="Times New Roman" w:hAnsi="Times New Roman" w:cs="Times New Roman"/>
                <w:color w:val="000000" w:themeColor="text1"/>
              </w:rPr>
              <w:t>, n (%)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tcMar>
              <w:left w:w="288" w:type="dxa"/>
              <w:right w:w="115" w:type="dxa"/>
            </w:tcMar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35 (50.7)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10 (35.7)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25 (61)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0.079</w:t>
            </w: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tcMar>
              <w:left w:w="288" w:type="dxa"/>
              <w:right w:w="115" w:type="dxa"/>
            </w:tcMar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14 (20.3)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5 (17.9)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9 (22)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tcMar>
              <w:left w:w="288" w:type="dxa"/>
              <w:right w:w="115" w:type="dxa"/>
            </w:tcMar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 (2.9)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 (3.6)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 (2.4)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tcMar>
              <w:left w:w="288" w:type="dxa"/>
              <w:right w:w="115" w:type="dxa"/>
            </w:tcMar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2.5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12 (17.4)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8 (28.6)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4 (9.8)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tcMar>
              <w:left w:w="288" w:type="dxa"/>
              <w:right w:w="115" w:type="dxa"/>
            </w:tcMar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5.5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4 (5.8)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 (7.1)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 (4.9)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tcMar>
              <w:left w:w="288" w:type="dxa"/>
              <w:right w:w="115" w:type="dxa"/>
            </w:tcMar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 (2.9)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 (7.1)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 (0.0)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2DB1" w:rsidRPr="008A3055" w:rsidTr="00744E31">
        <w:trPr>
          <w:trHeight w:val="600"/>
        </w:trPr>
        <w:tc>
          <w:tcPr>
            <w:tcW w:w="2879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Cardiovascular risk factors (HTN, DLD, Diabetes), n (%)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14 (20.3)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10 (35.7)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4 (9.8)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0.008</w:t>
            </w:r>
          </w:p>
        </w:tc>
      </w:tr>
      <w:tr w:rsidR="00C82DB1" w:rsidRPr="008A3055" w:rsidTr="00744E31">
        <w:trPr>
          <w:trHeight w:val="900"/>
        </w:trPr>
        <w:tc>
          <w:tcPr>
            <w:tcW w:w="2879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Number of target joints present that patient endorses on Emicizumab form, median (IQR)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 (1, 4)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3 (2, 6)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 (1, 3)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3 (3/0)</w:t>
            </w: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0.011</w:t>
            </w:r>
          </w:p>
        </w:tc>
      </w:tr>
      <w:tr w:rsidR="00C82DB1" w:rsidRPr="008A3055" w:rsidTr="00744E31">
        <w:trPr>
          <w:trHeight w:val="575"/>
        </w:trPr>
        <w:tc>
          <w:tcPr>
            <w:tcW w:w="2879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Visual Analog Scale, median (IQR)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77 (65, 82)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71 (59, 80)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80 (70, 90)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17 (1/16)</w:t>
            </w: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0.079</w:t>
            </w: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Composite EQ5D, median (IQR)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 xml:space="preserve">0.854 </w:t>
            </w:r>
          </w:p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(0.714, 0.942)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 xml:space="preserve">0.816 </w:t>
            </w:r>
          </w:p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(0.545, 0.924)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 xml:space="preserve">0.893 </w:t>
            </w:r>
          </w:p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(0.767, 0.951)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17 (1/16)</w:t>
            </w: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0.16</w:t>
            </w:r>
          </w:p>
        </w:tc>
      </w:tr>
      <w:tr w:rsidR="00C82DB1" w:rsidRPr="008A3055" w:rsidTr="00744E31">
        <w:trPr>
          <w:trHeight w:val="600"/>
        </w:trPr>
        <w:tc>
          <w:tcPr>
            <w:tcW w:w="2879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Composite PROBE score, median (IQR)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 xml:space="preserve">0.791 </w:t>
            </w:r>
          </w:p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(0.650, 0.907)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 xml:space="preserve">0.74 </w:t>
            </w:r>
          </w:p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(0.632, 0.88)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 xml:space="preserve">0.858 </w:t>
            </w:r>
          </w:p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(0.741, 0.946)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17 (1/16)</w:t>
            </w: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0.025</w:t>
            </w: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bookmarkStart w:id="1" w:name="_Hlk164583433"/>
            <w:r w:rsidRPr="008A3055">
              <w:rPr>
                <w:rFonts w:ascii="Times New Roman" w:hAnsi="Times New Roman" w:cs="Times New Roman"/>
                <w:color w:val="000000" w:themeColor="text1"/>
              </w:rPr>
              <w:t>Still taking Emicizumab</w:t>
            </w:r>
            <w:bookmarkEnd w:id="1"/>
            <w:r w:rsidRPr="008A3055">
              <w:rPr>
                <w:rFonts w:ascii="Times New Roman" w:hAnsi="Times New Roman" w:cs="Times New Roman"/>
                <w:color w:val="000000" w:themeColor="text1"/>
              </w:rPr>
              <w:t>, n (%)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64 (92.8)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26 (92.9)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38 (92.7)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:rsidR="00C82DB1" w:rsidRPr="00744E31" w:rsidRDefault="00C82DB1" w:rsidP="00C82DB1">
      <w:pPr>
        <w:adjustRightInd w:val="0"/>
        <w:snapToGrid w:val="0"/>
        <w:rPr>
          <w:rFonts w:ascii="Times New Roman" w:hAnsi="Times New Roman" w:cs="Times New Roman"/>
        </w:rPr>
      </w:pPr>
    </w:p>
    <w:sectPr w:rsidR="00C82DB1" w:rsidRPr="00744E31" w:rsidSect="00141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1384D"/>
    <w:multiLevelType w:val="hybridMultilevel"/>
    <w:tmpl w:val="A8FAF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8449BE"/>
    <w:multiLevelType w:val="hybridMultilevel"/>
    <w:tmpl w:val="5FA26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F95349"/>
    <w:multiLevelType w:val="multilevel"/>
    <w:tmpl w:val="B6FED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4D2A0718"/>
    <w:multiLevelType w:val="multilevel"/>
    <w:tmpl w:val="AC468A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7192498D"/>
    <w:multiLevelType w:val="multilevel"/>
    <w:tmpl w:val="DECE30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C82DB1"/>
    <w:rsid w:val="00141110"/>
    <w:rsid w:val="004F5CA0"/>
    <w:rsid w:val="007422A9"/>
    <w:rsid w:val="00AE5AD0"/>
    <w:rsid w:val="00C82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DB1"/>
    <w:pPr>
      <w:spacing w:after="0" w:line="240" w:lineRule="auto"/>
    </w:pPr>
    <w:rPr>
      <w:sz w:val="24"/>
      <w:szCs w:val="24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DB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DB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D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D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D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D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DB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D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DB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DB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DB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D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D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D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D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DB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DB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DB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DB1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C82DB1"/>
    <w:pPr>
      <w:spacing w:after="0" w:line="240" w:lineRule="auto"/>
    </w:pPr>
    <w:rPr>
      <w:sz w:val="24"/>
      <w:szCs w:val="24"/>
      <w:lang w:val="en-C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2155</Characters>
  <Application>Microsoft Office Word</Application>
  <DocSecurity>0</DocSecurity>
  <Lines>17</Lines>
  <Paragraphs>5</Paragraphs>
  <ScaleCrop>false</ScaleCrop>
  <Company>Grizli777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Adminstrator</cp:lastModifiedBy>
  <cp:revision>2</cp:revision>
  <dcterms:created xsi:type="dcterms:W3CDTF">2025-10-05T17:40:00Z</dcterms:created>
  <dcterms:modified xsi:type="dcterms:W3CDTF">2025-10-09T11:22:00Z</dcterms:modified>
</cp:coreProperties>
</file>