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DB1" w:rsidRPr="00744E31" w:rsidRDefault="00C82DB1" w:rsidP="00C82DB1">
      <w:pPr>
        <w:adjustRightInd w:val="0"/>
        <w:snapToGrid w:val="0"/>
        <w:rPr>
          <w:rFonts w:ascii="Times New Roman" w:eastAsia="Times New Roman" w:hAnsi="Times New Roman" w:cs="Times New Roman"/>
        </w:rPr>
      </w:pPr>
      <w:r w:rsidRPr="008A3055">
        <w:rPr>
          <w:rFonts w:ascii="Times New Roman" w:eastAsia="Times New Roman" w:hAnsi="Times New Roman" w:cs="Times New Roman"/>
          <w:b/>
          <w:bCs/>
        </w:rPr>
        <w:t>Suppl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8A3055">
        <w:rPr>
          <w:rFonts w:ascii="Times New Roman" w:eastAsia="Times New Roman" w:hAnsi="Times New Roman" w:cs="Times New Roman"/>
          <w:b/>
          <w:bCs/>
        </w:rPr>
        <w:t>1</w:t>
      </w:r>
      <w:r>
        <w:rPr>
          <w:rFonts w:ascii="Times New Roman" w:eastAsia="Times New Roman" w:hAnsi="Times New Roman" w:cs="Times New Roman"/>
          <w:b/>
          <w:bCs/>
        </w:rPr>
        <w:t>.</w:t>
      </w:r>
      <w:r w:rsidRPr="008A3055">
        <w:rPr>
          <w:rFonts w:ascii="Times New Roman" w:eastAsia="Times New Roman" w:hAnsi="Times New Roman" w:cs="Times New Roman"/>
          <w:b/>
          <w:bCs/>
        </w:rPr>
        <w:t xml:space="preserve"> </w:t>
      </w:r>
      <w:r w:rsidRPr="008A3055">
        <w:rPr>
          <w:rFonts w:ascii="Times New Roman" w:eastAsia="Times New Roman" w:hAnsi="Times New Roman" w:cs="Times New Roman"/>
        </w:rPr>
        <w:t>Standardized Education Model for Patient Transition to Emicizumab</w:t>
      </w:r>
      <w:r>
        <w:rPr>
          <w:rFonts w:ascii="Times New Roman" w:eastAsia="Times New Roman" w:hAnsi="Times New Roman" w:cs="Times New Roman"/>
        </w:rPr>
        <w:t xml:space="preserve">. </w:t>
      </w:r>
      <w:r w:rsidRPr="00744E31">
        <w:rPr>
          <w:rFonts w:ascii="Times New Roman" w:eastAsia="Times New Roman" w:hAnsi="Times New Roman" w:cs="Times New Roman"/>
        </w:rPr>
        <w:t>To ensure patient safety and adherence, a standardized education model is crucial when transitioning individuals with Hemophilia A to prophylactic treatment with emicizumab</w:t>
      </w:r>
      <w:r w:rsidRPr="00744E31">
        <w:rPr>
          <w:rFonts w:ascii="Times New Roman" w:hAnsi="Times New Roman" w:cs="Times New Roman"/>
          <w:lang w:eastAsia="zh-CN"/>
        </w:rPr>
        <w:t>®.</w:t>
      </w:r>
      <w:r w:rsidRPr="00744E31">
        <w:rPr>
          <w:rFonts w:ascii="Times New Roman" w:eastAsia="Times New Roman" w:hAnsi="Times New Roman" w:cs="Times New Roman"/>
        </w:rPr>
        <w:t xml:space="preserve"> The following supplementary figure outlines the core knowledge assessment and key educational points provided to patients, based on materials provided by the Adult Bleeding Disorder Program of BC/Yukon (ADBP).  A powerpoint presentation and pamphlet were provided electronically to all patients prior to transition.  Patients were to complete a basic quiz to demonstrate understanding and complete a PROBE (Patient Reported Outcomes, Burdens and Experiences) survey prior to booking the first emicizumab</w:t>
      </w:r>
      <w:r w:rsidRPr="00744E31">
        <w:rPr>
          <w:rFonts w:ascii="Times New Roman" w:hAnsi="Times New Roman" w:cs="Times New Roman"/>
          <w:lang w:eastAsia="zh-CN"/>
        </w:rPr>
        <w:t>®</w:t>
      </w:r>
      <w:r w:rsidRPr="00744E31">
        <w:rPr>
          <w:rFonts w:ascii="Times New Roman" w:eastAsia="Times New Roman" w:hAnsi="Times New Roman" w:cs="Times New Roman"/>
        </w:rPr>
        <w:t xml:space="preserve"> transition injection.  The information was reviewed again in-person or via Zoom at the first and fifth injection.</w:t>
      </w:r>
    </w:p>
    <w:p w:rsidR="00C82DB1" w:rsidRPr="00744E31" w:rsidRDefault="00C82DB1" w:rsidP="00C82DB1">
      <w:pPr>
        <w:adjustRightInd w:val="0"/>
        <w:snapToGrid w:val="0"/>
        <w:rPr>
          <w:rFonts w:ascii="Times New Roman" w:eastAsia="Times New Roman" w:hAnsi="Times New Roman" w:cs="Times New Roman"/>
        </w:rPr>
      </w:pPr>
    </w:p>
    <w:tbl>
      <w:tblPr>
        <w:tblStyle w:val="TableGrid"/>
        <w:tblW w:w="0" w:type="auto"/>
        <w:tblLook w:val="04A0"/>
      </w:tblPr>
      <w:tblGrid>
        <w:gridCol w:w="3116"/>
        <w:gridCol w:w="1982"/>
        <w:gridCol w:w="4252"/>
      </w:tblGrid>
      <w:tr w:rsidR="00C82DB1" w:rsidRPr="008A3055" w:rsidTr="00744E31">
        <w:tc>
          <w:tcPr>
            <w:tcW w:w="3116" w:type="dxa"/>
          </w:tcPr>
          <w:p w:rsidR="00C82DB1" w:rsidRPr="00744E31" w:rsidRDefault="00C82DB1" w:rsidP="00744E31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44E31">
              <w:rPr>
                <w:rFonts w:ascii="Times New Roman" w:eastAsia="Times New Roman" w:hAnsi="Times New Roman" w:cs="Times New Roman"/>
                <w:b/>
                <w:bCs/>
              </w:rPr>
              <w:t>Key Components</w:t>
            </w: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:rsidR="00C82DB1" w:rsidRPr="00744E31" w:rsidRDefault="00C82DB1" w:rsidP="00744E31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44E31">
              <w:rPr>
                <w:rFonts w:ascii="Times New Roman" w:eastAsia="Times New Roman" w:hAnsi="Times New Roman" w:cs="Times New Roman"/>
                <w:b/>
                <w:bCs/>
              </w:rPr>
              <w:t>Knowledge areas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C82DB1" w:rsidRPr="00744E31" w:rsidRDefault="00C82DB1" w:rsidP="00744E31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44E31">
              <w:rPr>
                <w:rFonts w:ascii="Times New Roman" w:eastAsia="Times New Roman" w:hAnsi="Times New Roman" w:cs="Times New Roman"/>
                <w:b/>
                <w:bCs/>
              </w:rPr>
              <w:t>Summary of details provided</w:t>
            </w:r>
          </w:p>
        </w:tc>
      </w:tr>
      <w:tr w:rsidR="00C82DB1" w:rsidRPr="008A3055" w:rsidTr="00744E31">
        <w:tc>
          <w:tcPr>
            <w:tcW w:w="3116" w:type="dxa"/>
            <w:vMerge w:val="restart"/>
            <w:tcBorders>
              <w:right w:val="single" w:sz="4" w:space="0" w:color="auto"/>
            </w:tcBorders>
          </w:tcPr>
          <w:p w:rsidR="00C82DB1" w:rsidRPr="00744E31" w:rsidRDefault="00C82DB1" w:rsidP="00744E31">
            <w:pPr>
              <w:adjustRightInd w:val="0"/>
              <w:snapToGrid w:val="0"/>
              <w:rPr>
                <w:rFonts w:ascii="Times New Roman" w:eastAsia="Times New Roman" w:hAnsi="Times New Roman" w:cs="Times New Roman"/>
              </w:rPr>
            </w:pPr>
            <w:r w:rsidRPr="00744E31">
              <w:rPr>
                <w:rFonts w:ascii="Times New Roman" w:eastAsia="Times New Roman" w:hAnsi="Times New Roman" w:cs="Times New Roman"/>
              </w:rPr>
              <w:t>Part 1: Foundational Knowledge &amp; Mechanism of Action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2DB1" w:rsidRPr="00744E31" w:rsidRDefault="00C82DB1" w:rsidP="00744E31">
            <w:pPr>
              <w:adjustRightInd w:val="0"/>
              <w:snapToGrid w:val="0"/>
              <w:rPr>
                <w:rFonts w:ascii="Times New Roman" w:eastAsia="Times New Roman" w:hAnsi="Times New Roman" w:cs="Times New Roman"/>
              </w:rPr>
            </w:pPr>
            <w:r w:rsidRPr="00744E31">
              <w:rPr>
                <w:rFonts w:ascii="Times New Roman" w:eastAsia="Times New Roman" w:hAnsi="Times New Roman" w:cs="Times New Roman"/>
              </w:rPr>
              <w:t>What is emicizumab</w:t>
            </w:r>
            <w:r w:rsidRPr="00744E31">
              <w:rPr>
                <w:rFonts w:ascii="Times New Roman" w:hAnsi="Times New Roman" w:cs="Times New Roman"/>
                <w:lang w:eastAsia="zh-CN"/>
              </w:rPr>
              <w:t>®</w:t>
            </w:r>
            <w:r w:rsidRPr="00744E31">
              <w:rPr>
                <w:rFonts w:ascii="Times New Roman" w:eastAsia="Times New Roman" w:hAnsi="Times New Roman" w:cs="Times New Roman"/>
              </w:rPr>
              <w:t>?</w:t>
            </w:r>
          </w:p>
          <w:p w:rsidR="00C82DB1" w:rsidRPr="00744E31" w:rsidRDefault="00C82DB1" w:rsidP="00744E31">
            <w:pPr>
              <w:adjustRightInd w:val="0"/>
              <w:snapToGrid w:val="0"/>
              <w:rPr>
                <w:rFonts w:ascii="Times New Roman" w:eastAsia="Times New Roman" w:hAnsi="Times New Roman" w:cs="Times New Roman"/>
              </w:rPr>
            </w:pPr>
          </w:p>
          <w:p w:rsidR="00C82DB1" w:rsidRPr="00744E31" w:rsidRDefault="00C82DB1" w:rsidP="00744E31">
            <w:pPr>
              <w:adjustRightInd w:val="0"/>
              <w:snapToGrid w:val="0"/>
              <w:rPr>
                <w:rFonts w:ascii="Times New Roman" w:eastAsia="Times New Roman" w:hAnsi="Times New Roman" w:cs="Times New Roman"/>
              </w:rPr>
            </w:pPr>
          </w:p>
          <w:p w:rsidR="00C82DB1" w:rsidRPr="00744E31" w:rsidRDefault="00C82DB1" w:rsidP="00744E31">
            <w:pPr>
              <w:adjustRightInd w:val="0"/>
              <w:snapToGrid w:val="0"/>
              <w:rPr>
                <w:rFonts w:ascii="Times New Roman" w:eastAsia="Times New Roman" w:hAnsi="Times New Roman" w:cs="Times New Roman"/>
              </w:rPr>
            </w:pPr>
          </w:p>
          <w:p w:rsidR="00C82DB1" w:rsidRPr="00744E31" w:rsidRDefault="00C82DB1" w:rsidP="00744E31">
            <w:pPr>
              <w:adjustRightInd w:val="0"/>
              <w:snapToGrid w:val="0"/>
              <w:rPr>
                <w:rFonts w:ascii="Times New Roman" w:eastAsia="Times New Roman" w:hAnsi="Times New Roman" w:cs="Times New Roman"/>
              </w:rPr>
            </w:pPr>
          </w:p>
          <w:p w:rsidR="00C82DB1" w:rsidRPr="00744E31" w:rsidRDefault="00C82DB1" w:rsidP="00744E31">
            <w:pPr>
              <w:adjustRightInd w:val="0"/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DB1" w:rsidRPr="00744E31" w:rsidRDefault="00C82DB1" w:rsidP="00C82DB1">
            <w:pPr>
              <w:numPr>
                <w:ilvl w:val="0"/>
                <w:numId w:val="1"/>
              </w:numPr>
              <w:adjustRightInd w:val="0"/>
              <w:snapToGrid w:val="0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744E31">
              <w:rPr>
                <w:rFonts w:ascii="Times New Roman" w:eastAsia="Times New Roman" w:hAnsi="Times New Roman" w:cs="Times New Roman"/>
              </w:rPr>
              <w:t>Emicizumab</w:t>
            </w:r>
            <w:r w:rsidRPr="00744E31">
              <w:rPr>
                <w:rFonts w:ascii="Times New Roman" w:hAnsi="Times New Roman" w:cs="Times New Roman"/>
                <w:lang w:eastAsia="zh-CN"/>
              </w:rPr>
              <w:t>®</w:t>
            </w:r>
            <w:r w:rsidRPr="00744E31">
              <w:rPr>
                <w:rFonts w:ascii="Times New Roman" w:eastAsia="Times New Roman" w:hAnsi="Times New Roman" w:cs="Times New Roman"/>
              </w:rPr>
              <w:t xml:space="preserve"> is prophylactic (preventative) treatment for Hemophilia A.</w:t>
            </w:r>
          </w:p>
          <w:p w:rsidR="00C82DB1" w:rsidRPr="00744E31" w:rsidRDefault="00C82DB1" w:rsidP="00C82DB1">
            <w:pPr>
              <w:numPr>
                <w:ilvl w:val="0"/>
                <w:numId w:val="1"/>
              </w:numPr>
              <w:adjustRightInd w:val="0"/>
              <w:snapToGrid w:val="0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744E31">
              <w:rPr>
                <w:rFonts w:ascii="Times New Roman" w:eastAsia="Times New Roman" w:hAnsi="Times New Roman" w:cs="Times New Roman"/>
              </w:rPr>
              <w:t>It functions by substituting for the normal role of activated Factor VIII. Specifically, it brings together Factor IXa and Factor X, allowing the blood coagulation process to continue.</w:t>
            </w:r>
          </w:p>
          <w:p w:rsidR="00C82DB1" w:rsidRPr="00744E31" w:rsidRDefault="00C82DB1" w:rsidP="00C82DB1">
            <w:pPr>
              <w:numPr>
                <w:ilvl w:val="0"/>
                <w:numId w:val="1"/>
              </w:numPr>
              <w:adjustRightInd w:val="0"/>
              <w:snapToGrid w:val="0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744E31">
              <w:rPr>
                <w:rFonts w:ascii="Times New Roman" w:eastAsia="Times New Roman" w:hAnsi="Times New Roman" w:cs="Times New Roman"/>
              </w:rPr>
              <w:t>It is administered as a subcutaneous (under the skin) injection, not intravenously.</w:t>
            </w:r>
          </w:p>
        </w:tc>
      </w:tr>
      <w:tr w:rsidR="00C82DB1" w:rsidRPr="008A3055" w:rsidTr="00744E31">
        <w:tc>
          <w:tcPr>
            <w:tcW w:w="3116" w:type="dxa"/>
            <w:vMerge/>
            <w:tcBorders>
              <w:right w:val="single" w:sz="4" w:space="0" w:color="auto"/>
            </w:tcBorders>
          </w:tcPr>
          <w:p w:rsidR="00C82DB1" w:rsidRPr="00744E31" w:rsidRDefault="00C82DB1" w:rsidP="00744E31">
            <w:pPr>
              <w:adjustRightInd w:val="0"/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2DB1" w:rsidRPr="00744E31" w:rsidRDefault="00C82DB1" w:rsidP="00744E31">
            <w:pPr>
              <w:adjustRightInd w:val="0"/>
              <w:snapToGrid w:val="0"/>
              <w:rPr>
                <w:rFonts w:ascii="Times New Roman" w:eastAsia="Times New Roman" w:hAnsi="Times New Roman" w:cs="Times New Roman"/>
              </w:rPr>
            </w:pPr>
            <w:r w:rsidRPr="00744E31">
              <w:rPr>
                <w:rFonts w:ascii="Times New Roman" w:eastAsia="Times New Roman" w:hAnsi="Times New Roman" w:cs="Times New Roman"/>
              </w:rPr>
              <w:t>Key Distinctions from Factor Replacement Therapy</w:t>
            </w:r>
          </w:p>
          <w:p w:rsidR="00C82DB1" w:rsidRPr="00744E31" w:rsidRDefault="00C82DB1" w:rsidP="00744E31">
            <w:pPr>
              <w:adjustRightInd w:val="0"/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DB1" w:rsidRPr="00744E31" w:rsidRDefault="00C82DB1" w:rsidP="00C82DB1">
            <w:pPr>
              <w:numPr>
                <w:ilvl w:val="0"/>
                <w:numId w:val="1"/>
              </w:numPr>
              <w:adjustRightInd w:val="0"/>
              <w:snapToGrid w:val="0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744E31">
              <w:rPr>
                <w:rFonts w:ascii="Times New Roman" w:eastAsia="Times New Roman" w:hAnsi="Times New Roman" w:cs="Times New Roman"/>
              </w:rPr>
              <w:t>Emicizumab</w:t>
            </w:r>
            <w:r w:rsidRPr="00744E31">
              <w:rPr>
                <w:rFonts w:ascii="Times New Roman" w:hAnsi="Times New Roman" w:cs="Times New Roman"/>
                <w:lang w:eastAsia="zh-CN"/>
              </w:rPr>
              <w:t>®</w:t>
            </w:r>
            <w:r w:rsidRPr="00744E31">
              <w:rPr>
                <w:rFonts w:ascii="Times New Roman" w:eastAsia="Times New Roman" w:hAnsi="Times New Roman" w:cs="Times New Roman"/>
              </w:rPr>
              <w:t xml:space="preserve"> is not used to treat active bleeding episodes.</w:t>
            </w:r>
          </w:p>
          <w:p w:rsidR="00C82DB1" w:rsidRPr="00744E31" w:rsidRDefault="00C82DB1" w:rsidP="00C82DB1">
            <w:pPr>
              <w:numPr>
                <w:ilvl w:val="0"/>
                <w:numId w:val="1"/>
              </w:numPr>
              <w:adjustRightInd w:val="0"/>
              <w:snapToGrid w:val="0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744E31">
              <w:rPr>
                <w:rFonts w:ascii="Times New Roman" w:eastAsia="Times New Roman" w:hAnsi="Times New Roman" w:cs="Times New Roman"/>
              </w:rPr>
              <w:t>Treatment effectiveness is generally monitored by observing the signs and symptoms of bleeding, not by measuring FVIII levels.</w:t>
            </w:r>
          </w:p>
          <w:p w:rsidR="00C82DB1" w:rsidRPr="00744E31" w:rsidRDefault="00C82DB1" w:rsidP="00744E31">
            <w:pPr>
              <w:adjustRightInd w:val="0"/>
              <w:snapToGrid w:val="0"/>
              <w:rPr>
                <w:rFonts w:ascii="Times New Roman" w:eastAsia="Times New Roman" w:hAnsi="Times New Roman" w:cs="Times New Roman"/>
              </w:rPr>
            </w:pPr>
            <w:r w:rsidRPr="00744E31">
              <w:rPr>
                <w:rFonts w:ascii="Times New Roman" w:eastAsia="Times New Roman" w:hAnsi="Times New Roman" w:cs="Times New Roman"/>
              </w:rPr>
              <w:t>Standard FVIII activity tests will be inaccurate while on emicizumab</w:t>
            </w:r>
            <w:r w:rsidRPr="00744E31">
              <w:rPr>
                <w:rFonts w:ascii="Times New Roman" w:hAnsi="Times New Roman" w:cs="Times New Roman"/>
                <w:lang w:eastAsia="zh-CN"/>
              </w:rPr>
              <w:t>®</w:t>
            </w:r>
            <w:r w:rsidRPr="00744E31">
              <w:rPr>
                <w:rFonts w:ascii="Times New Roman" w:eastAsia="Times New Roman" w:hAnsi="Times New Roman" w:cs="Times New Roman"/>
              </w:rPr>
              <w:t xml:space="preserve"> and results may be artificially high.</w:t>
            </w:r>
          </w:p>
          <w:p w:rsidR="00C82DB1" w:rsidRPr="00744E31" w:rsidRDefault="00C82DB1" w:rsidP="00744E31">
            <w:pPr>
              <w:adjustRightInd w:val="0"/>
              <w:snapToGrid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C82DB1" w:rsidRPr="008A3055" w:rsidTr="00744E31">
        <w:tc>
          <w:tcPr>
            <w:tcW w:w="3116" w:type="dxa"/>
            <w:vMerge w:val="restart"/>
            <w:tcBorders>
              <w:right w:val="single" w:sz="4" w:space="0" w:color="auto"/>
            </w:tcBorders>
          </w:tcPr>
          <w:p w:rsidR="00C82DB1" w:rsidRPr="00744E31" w:rsidRDefault="00C82DB1" w:rsidP="00744E31">
            <w:pPr>
              <w:adjustRightInd w:val="0"/>
              <w:snapToGrid w:val="0"/>
              <w:rPr>
                <w:rFonts w:ascii="Times New Roman" w:eastAsia="Times New Roman" w:hAnsi="Times New Roman" w:cs="Times New Roman"/>
              </w:rPr>
            </w:pPr>
            <w:r w:rsidRPr="00744E31">
              <w:rPr>
                <w:rFonts w:ascii="Times New Roman" w:eastAsia="Times New Roman" w:hAnsi="Times New Roman" w:cs="Times New Roman"/>
              </w:rPr>
              <w:t>Part 2: Dosing and Administration Schedule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2DB1" w:rsidRPr="00744E31" w:rsidRDefault="00C82DB1" w:rsidP="00744E31">
            <w:pPr>
              <w:adjustRightInd w:val="0"/>
              <w:snapToGrid w:val="0"/>
              <w:rPr>
                <w:rFonts w:ascii="Times New Roman" w:eastAsia="Times New Roman" w:hAnsi="Times New Roman" w:cs="Times New Roman"/>
              </w:rPr>
            </w:pPr>
            <w:r w:rsidRPr="00744E31">
              <w:rPr>
                <w:rFonts w:ascii="Times New Roman" w:eastAsia="Times New Roman" w:hAnsi="Times New Roman" w:cs="Times New Roman"/>
              </w:rPr>
              <w:t>Loading Doses</w:t>
            </w:r>
          </w:p>
          <w:p w:rsidR="00C82DB1" w:rsidRPr="00744E31" w:rsidRDefault="00C82DB1" w:rsidP="00744E31">
            <w:pPr>
              <w:adjustRightInd w:val="0"/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DB1" w:rsidRPr="00744E31" w:rsidRDefault="00C82DB1" w:rsidP="00744E31">
            <w:pPr>
              <w:adjustRightInd w:val="0"/>
              <w:snapToGrid w:val="0"/>
              <w:rPr>
                <w:rFonts w:ascii="Times New Roman" w:eastAsia="Times New Roman" w:hAnsi="Times New Roman" w:cs="Times New Roman"/>
              </w:rPr>
            </w:pPr>
            <w:r w:rsidRPr="00744E31">
              <w:rPr>
                <w:rFonts w:ascii="Times New Roman" w:eastAsia="Times New Roman" w:hAnsi="Times New Roman" w:cs="Times New Roman"/>
              </w:rPr>
              <w:t>Treatment begins with four weekly "loading doses" at a concentration of 3mg/kg per dose.  Following the initial four doses, a regular maintenance dose is started.</w:t>
            </w:r>
          </w:p>
          <w:p w:rsidR="00C82DB1" w:rsidRPr="00744E31" w:rsidRDefault="00C82DB1" w:rsidP="00C82DB1">
            <w:pPr>
              <w:numPr>
                <w:ilvl w:val="0"/>
                <w:numId w:val="4"/>
              </w:numPr>
              <w:adjustRightInd w:val="0"/>
              <w:snapToGrid w:val="0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744E31">
              <w:rPr>
                <w:rFonts w:ascii="Times New Roman" w:eastAsia="Times New Roman" w:hAnsi="Times New Roman" w:cs="Times New Roman"/>
              </w:rPr>
              <w:t>The Adult Bleeding Disorder Program (ABDP) should be contacted if a dose is missed.</w:t>
            </w:r>
          </w:p>
        </w:tc>
      </w:tr>
      <w:tr w:rsidR="00C82DB1" w:rsidRPr="008A3055" w:rsidTr="00744E31">
        <w:tc>
          <w:tcPr>
            <w:tcW w:w="3116" w:type="dxa"/>
            <w:vMerge/>
            <w:tcBorders>
              <w:right w:val="single" w:sz="4" w:space="0" w:color="auto"/>
            </w:tcBorders>
          </w:tcPr>
          <w:p w:rsidR="00C82DB1" w:rsidRPr="00744E31" w:rsidRDefault="00C82DB1" w:rsidP="00744E31">
            <w:pPr>
              <w:adjustRightInd w:val="0"/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2DB1" w:rsidRPr="00744E31" w:rsidRDefault="00C82DB1" w:rsidP="00744E31">
            <w:pPr>
              <w:adjustRightInd w:val="0"/>
              <w:snapToGrid w:val="0"/>
              <w:rPr>
                <w:rFonts w:ascii="Times New Roman" w:eastAsia="Times New Roman" w:hAnsi="Times New Roman" w:cs="Times New Roman"/>
              </w:rPr>
            </w:pPr>
            <w:r w:rsidRPr="00744E31">
              <w:rPr>
                <w:rFonts w:ascii="Times New Roman" w:eastAsia="Times New Roman" w:hAnsi="Times New Roman" w:cs="Times New Roman"/>
              </w:rPr>
              <w:t>Maintenance Doses</w:t>
            </w:r>
          </w:p>
          <w:p w:rsidR="00C82DB1" w:rsidRPr="00744E31" w:rsidRDefault="00C82DB1" w:rsidP="00744E31">
            <w:pPr>
              <w:adjustRightInd w:val="0"/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DB1" w:rsidRPr="00744E31" w:rsidRDefault="00C82DB1" w:rsidP="00744E31">
            <w:pPr>
              <w:adjustRightInd w:val="0"/>
              <w:snapToGrid w:val="0"/>
              <w:rPr>
                <w:rFonts w:ascii="Times New Roman" w:eastAsia="Times New Roman" w:hAnsi="Times New Roman" w:cs="Times New Roman"/>
              </w:rPr>
            </w:pPr>
            <w:r w:rsidRPr="00744E31">
              <w:rPr>
                <w:rFonts w:ascii="Times New Roman" w:eastAsia="Times New Roman" w:hAnsi="Times New Roman" w:cs="Times New Roman"/>
              </w:rPr>
              <w:t>There are different maintenance dosing schedules: every week (1.5 mg/kg), every two weeks (3.0 mg/kg), or every four weeks (6.0 mg/kg).</w:t>
            </w:r>
            <w:r w:rsidRPr="00744E31">
              <w:rPr>
                <w:rFonts w:ascii="Times New Roman" w:eastAsia="Times New Roman" w:hAnsi="Times New Roman" w:cs="Times New Roman"/>
              </w:rPr>
              <w:br/>
            </w:r>
          </w:p>
        </w:tc>
      </w:tr>
      <w:tr w:rsidR="00C82DB1" w:rsidRPr="008A3055" w:rsidTr="00744E31">
        <w:tc>
          <w:tcPr>
            <w:tcW w:w="3116" w:type="dxa"/>
            <w:vMerge/>
            <w:tcBorders>
              <w:right w:val="single" w:sz="4" w:space="0" w:color="auto"/>
            </w:tcBorders>
          </w:tcPr>
          <w:p w:rsidR="00C82DB1" w:rsidRPr="00744E31" w:rsidRDefault="00C82DB1" w:rsidP="00744E31">
            <w:pPr>
              <w:adjustRightInd w:val="0"/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2DB1" w:rsidRPr="00744E31" w:rsidRDefault="00C82DB1" w:rsidP="00744E31">
            <w:pPr>
              <w:adjustRightInd w:val="0"/>
              <w:snapToGrid w:val="0"/>
              <w:rPr>
                <w:rFonts w:ascii="Times New Roman" w:eastAsia="Times New Roman" w:hAnsi="Times New Roman" w:cs="Times New Roman"/>
              </w:rPr>
            </w:pPr>
            <w:r w:rsidRPr="00744E31">
              <w:rPr>
                <w:rFonts w:ascii="Times New Roman" w:eastAsia="Times New Roman" w:hAnsi="Times New Roman" w:cs="Times New Roman"/>
              </w:rPr>
              <w:t>Missed Dose Protocol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DB1" w:rsidRPr="00744E31" w:rsidRDefault="00C82DB1" w:rsidP="00C82DB1">
            <w:pPr>
              <w:numPr>
                <w:ilvl w:val="0"/>
                <w:numId w:val="4"/>
              </w:numPr>
              <w:adjustRightInd w:val="0"/>
              <w:snapToGrid w:val="0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744E31">
              <w:rPr>
                <w:rFonts w:ascii="Times New Roman" w:eastAsia="Times New Roman" w:hAnsi="Times New Roman" w:cs="Times New Roman"/>
              </w:rPr>
              <w:t>If a dose is missed, patients should take it as soon as they remember and then continue with their regular dosing schedule.</w:t>
            </w:r>
          </w:p>
          <w:p w:rsidR="00C82DB1" w:rsidRPr="00744E31" w:rsidRDefault="00C82DB1" w:rsidP="00C82DB1">
            <w:pPr>
              <w:numPr>
                <w:ilvl w:val="0"/>
                <w:numId w:val="4"/>
              </w:numPr>
              <w:adjustRightInd w:val="0"/>
              <w:snapToGrid w:val="0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744E31">
              <w:rPr>
                <w:rFonts w:ascii="Times New Roman" w:eastAsia="Times New Roman" w:hAnsi="Times New Roman" w:cs="Times New Roman"/>
              </w:rPr>
              <w:t>It is important not to take two doses on the same day to compensate for a missed one.</w:t>
            </w:r>
          </w:p>
          <w:p w:rsidR="00C82DB1" w:rsidRPr="00744E31" w:rsidRDefault="00C82DB1" w:rsidP="00744E31">
            <w:pPr>
              <w:adjustRightInd w:val="0"/>
              <w:snapToGrid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C82DB1" w:rsidRPr="008A3055" w:rsidTr="00744E31">
        <w:tc>
          <w:tcPr>
            <w:tcW w:w="3116" w:type="dxa"/>
            <w:vMerge w:val="restart"/>
            <w:tcBorders>
              <w:right w:val="single" w:sz="4" w:space="0" w:color="auto"/>
            </w:tcBorders>
          </w:tcPr>
          <w:p w:rsidR="00C82DB1" w:rsidRPr="00744E31" w:rsidRDefault="00C82DB1" w:rsidP="00744E31">
            <w:pPr>
              <w:adjustRightInd w:val="0"/>
              <w:snapToGrid w:val="0"/>
              <w:rPr>
                <w:rFonts w:ascii="Times New Roman" w:eastAsia="Times New Roman" w:hAnsi="Times New Roman" w:cs="Times New Roman"/>
              </w:rPr>
            </w:pPr>
            <w:r w:rsidRPr="00744E31">
              <w:rPr>
                <w:rFonts w:ascii="Times New Roman" w:eastAsia="Times New Roman" w:hAnsi="Times New Roman" w:cs="Times New Roman"/>
              </w:rPr>
              <w:t>Part 3: Self-Administration Technique</w:t>
            </w:r>
          </w:p>
          <w:p w:rsidR="00C82DB1" w:rsidRPr="00744E31" w:rsidRDefault="00C82DB1" w:rsidP="00744E31">
            <w:pPr>
              <w:adjustRightInd w:val="0"/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2DB1" w:rsidRPr="00744E31" w:rsidRDefault="00C82DB1" w:rsidP="00744E31">
            <w:pPr>
              <w:adjustRightInd w:val="0"/>
              <w:snapToGrid w:val="0"/>
              <w:rPr>
                <w:rFonts w:ascii="Times New Roman" w:eastAsia="Times New Roman" w:hAnsi="Times New Roman" w:cs="Times New Roman"/>
              </w:rPr>
            </w:pPr>
            <w:r w:rsidRPr="00744E31">
              <w:rPr>
                <w:rFonts w:ascii="Times New Roman" w:eastAsia="Times New Roman" w:hAnsi="Times New Roman" w:cs="Times New Roman"/>
              </w:rPr>
              <w:t>Supplies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DB1" w:rsidRPr="00744E31" w:rsidRDefault="00C82DB1" w:rsidP="00744E31">
            <w:pPr>
              <w:adjustRightInd w:val="0"/>
              <w:snapToGrid w:val="0"/>
              <w:rPr>
                <w:rFonts w:ascii="Times New Roman" w:eastAsia="Times New Roman" w:hAnsi="Times New Roman" w:cs="Times New Roman"/>
              </w:rPr>
            </w:pPr>
            <w:r w:rsidRPr="00744E31">
              <w:rPr>
                <w:rFonts w:ascii="Times New Roman" w:eastAsia="Times New Roman" w:hAnsi="Times New Roman" w:cs="Times New Roman"/>
              </w:rPr>
              <w:t>List of supplies needed.</w:t>
            </w:r>
          </w:p>
          <w:p w:rsidR="00C82DB1" w:rsidRPr="00744E31" w:rsidRDefault="00C82DB1" w:rsidP="00744E31">
            <w:pPr>
              <w:adjustRightInd w:val="0"/>
              <w:snapToGrid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C82DB1" w:rsidRPr="008A3055" w:rsidTr="00744E31">
        <w:tc>
          <w:tcPr>
            <w:tcW w:w="3116" w:type="dxa"/>
            <w:vMerge/>
            <w:tcBorders>
              <w:right w:val="single" w:sz="4" w:space="0" w:color="auto"/>
            </w:tcBorders>
          </w:tcPr>
          <w:p w:rsidR="00C82DB1" w:rsidRPr="00744E31" w:rsidRDefault="00C82DB1" w:rsidP="00744E31">
            <w:pPr>
              <w:adjustRightInd w:val="0"/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2DB1" w:rsidRPr="00744E31" w:rsidRDefault="00C82DB1" w:rsidP="00744E31">
            <w:pPr>
              <w:adjustRightInd w:val="0"/>
              <w:snapToGrid w:val="0"/>
              <w:rPr>
                <w:rFonts w:ascii="Times New Roman" w:eastAsia="Times New Roman" w:hAnsi="Times New Roman" w:cs="Times New Roman"/>
              </w:rPr>
            </w:pPr>
            <w:r w:rsidRPr="00744E31">
              <w:rPr>
                <w:rFonts w:ascii="Times New Roman" w:eastAsia="Times New Roman" w:hAnsi="Times New Roman" w:cs="Times New Roman"/>
              </w:rPr>
              <w:t xml:space="preserve">Injection Sites </w:t>
            </w:r>
          </w:p>
          <w:p w:rsidR="00C82DB1" w:rsidRPr="00744E31" w:rsidRDefault="00C82DB1" w:rsidP="00744E31">
            <w:pPr>
              <w:adjustRightInd w:val="0"/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DB1" w:rsidRPr="00744E31" w:rsidRDefault="00C82DB1" w:rsidP="00744E31">
            <w:pPr>
              <w:adjustRightInd w:val="0"/>
              <w:snapToGrid w:val="0"/>
              <w:rPr>
                <w:rFonts w:ascii="Times New Roman" w:eastAsia="Times New Roman" w:hAnsi="Times New Roman" w:cs="Times New Roman"/>
              </w:rPr>
            </w:pPr>
            <w:r w:rsidRPr="00744E31">
              <w:rPr>
                <w:rFonts w:ascii="Times New Roman" w:eastAsia="Times New Roman" w:hAnsi="Times New Roman" w:cs="Times New Roman"/>
              </w:rPr>
              <w:t>Approved injections sites reviewed.</w:t>
            </w:r>
          </w:p>
        </w:tc>
      </w:tr>
      <w:tr w:rsidR="00C82DB1" w:rsidRPr="008A3055" w:rsidTr="00744E31">
        <w:tc>
          <w:tcPr>
            <w:tcW w:w="3116" w:type="dxa"/>
            <w:vMerge/>
            <w:tcBorders>
              <w:right w:val="single" w:sz="4" w:space="0" w:color="auto"/>
            </w:tcBorders>
          </w:tcPr>
          <w:p w:rsidR="00C82DB1" w:rsidRPr="00744E31" w:rsidRDefault="00C82DB1" w:rsidP="00744E31">
            <w:pPr>
              <w:adjustRightInd w:val="0"/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2DB1" w:rsidRPr="00744E31" w:rsidRDefault="00C82DB1" w:rsidP="00744E31">
            <w:pPr>
              <w:adjustRightInd w:val="0"/>
              <w:snapToGrid w:val="0"/>
              <w:rPr>
                <w:rFonts w:ascii="Times New Roman" w:eastAsia="Times New Roman" w:hAnsi="Times New Roman" w:cs="Times New Roman"/>
              </w:rPr>
            </w:pPr>
            <w:r w:rsidRPr="00744E31">
              <w:rPr>
                <w:rFonts w:ascii="Times New Roman" w:eastAsia="Times New Roman" w:hAnsi="Times New Roman" w:cs="Times New Roman"/>
              </w:rPr>
              <w:t>Injection Procedure: Step-by-step process</w:t>
            </w:r>
          </w:p>
          <w:p w:rsidR="00C82DB1" w:rsidRPr="00744E31" w:rsidRDefault="00C82DB1" w:rsidP="00744E31">
            <w:pPr>
              <w:adjustRightInd w:val="0"/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DB1" w:rsidRPr="00744E31" w:rsidRDefault="00C82DB1" w:rsidP="00C82DB1">
            <w:pPr>
              <w:pStyle w:val="ListParagraph"/>
              <w:numPr>
                <w:ilvl w:val="0"/>
                <w:numId w:val="5"/>
              </w:numPr>
              <w:adjustRightInd w:val="0"/>
              <w:snapToGrid w:val="0"/>
              <w:ind w:left="0" w:firstLine="0"/>
              <w:contextualSpacing w:val="0"/>
              <w:rPr>
                <w:rFonts w:ascii="Times New Roman" w:eastAsia="Times New Roman" w:hAnsi="Times New Roman" w:cs="Times New Roman"/>
              </w:rPr>
            </w:pPr>
            <w:r w:rsidRPr="00744E31">
              <w:rPr>
                <w:rFonts w:ascii="Times New Roman" w:eastAsia="Times New Roman" w:hAnsi="Times New Roman" w:cs="Times New Roman"/>
              </w:rPr>
              <w:t>A transfer needle is used to draw the medication from the vial(s) and a separate, new injection needle is used for subcutaneous administration.</w:t>
            </w:r>
          </w:p>
          <w:p w:rsidR="00C82DB1" w:rsidRPr="00744E31" w:rsidRDefault="00C82DB1" w:rsidP="00C82DB1">
            <w:pPr>
              <w:pStyle w:val="ListParagraph"/>
              <w:numPr>
                <w:ilvl w:val="0"/>
                <w:numId w:val="5"/>
              </w:numPr>
              <w:adjustRightInd w:val="0"/>
              <w:snapToGrid w:val="0"/>
              <w:ind w:left="0" w:firstLine="0"/>
              <w:contextualSpacing w:val="0"/>
              <w:rPr>
                <w:rFonts w:ascii="Times New Roman" w:eastAsia="Times New Roman" w:hAnsi="Times New Roman" w:cs="Times New Roman"/>
              </w:rPr>
            </w:pPr>
            <w:r w:rsidRPr="00744E31">
              <w:rPr>
                <w:rFonts w:ascii="Times New Roman" w:eastAsia="Times New Roman" w:hAnsi="Times New Roman" w:cs="Times New Roman"/>
              </w:rPr>
              <w:t>Pinch the skin at the chosen injection site.</w:t>
            </w:r>
          </w:p>
          <w:p w:rsidR="00C82DB1" w:rsidRPr="00744E31" w:rsidRDefault="00C82DB1" w:rsidP="00C82DB1">
            <w:pPr>
              <w:pStyle w:val="ListParagraph"/>
              <w:numPr>
                <w:ilvl w:val="0"/>
                <w:numId w:val="5"/>
              </w:numPr>
              <w:adjustRightInd w:val="0"/>
              <w:snapToGrid w:val="0"/>
              <w:ind w:left="0" w:firstLine="0"/>
              <w:contextualSpacing w:val="0"/>
              <w:rPr>
                <w:rFonts w:ascii="Times New Roman" w:eastAsia="Times New Roman" w:hAnsi="Times New Roman" w:cs="Times New Roman"/>
              </w:rPr>
            </w:pPr>
            <w:r w:rsidRPr="00744E31">
              <w:rPr>
                <w:rFonts w:ascii="Times New Roman" w:eastAsia="Times New Roman" w:hAnsi="Times New Roman" w:cs="Times New Roman"/>
              </w:rPr>
              <w:t>Insert the needle fully at a 45 to 90-degree angle.</w:t>
            </w:r>
          </w:p>
        </w:tc>
      </w:tr>
      <w:tr w:rsidR="00C82DB1" w:rsidRPr="008A3055" w:rsidTr="00744E31">
        <w:tc>
          <w:tcPr>
            <w:tcW w:w="3116" w:type="dxa"/>
            <w:vMerge w:val="restart"/>
            <w:tcBorders>
              <w:right w:val="single" w:sz="4" w:space="0" w:color="auto"/>
            </w:tcBorders>
          </w:tcPr>
          <w:p w:rsidR="00C82DB1" w:rsidRPr="00744E31" w:rsidRDefault="00C82DB1" w:rsidP="00744E31">
            <w:pPr>
              <w:adjustRightInd w:val="0"/>
              <w:snapToGrid w:val="0"/>
              <w:rPr>
                <w:rFonts w:ascii="Times New Roman" w:eastAsia="Times New Roman" w:hAnsi="Times New Roman" w:cs="Times New Roman"/>
              </w:rPr>
            </w:pPr>
            <w:r w:rsidRPr="00744E31">
              <w:rPr>
                <w:rFonts w:ascii="Times New Roman" w:eastAsia="Times New Roman" w:hAnsi="Times New Roman" w:cs="Times New Roman"/>
              </w:rPr>
              <w:t>Part 4: Safety, Side Effects, and Storage</w:t>
            </w:r>
          </w:p>
          <w:p w:rsidR="00C82DB1" w:rsidRPr="00744E31" w:rsidRDefault="00C82DB1" w:rsidP="00744E31">
            <w:pPr>
              <w:adjustRightInd w:val="0"/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2DB1" w:rsidRPr="00744E31" w:rsidRDefault="00C82DB1" w:rsidP="00744E31">
            <w:pPr>
              <w:adjustRightInd w:val="0"/>
              <w:snapToGrid w:val="0"/>
              <w:rPr>
                <w:rFonts w:ascii="Times New Roman" w:eastAsia="Times New Roman" w:hAnsi="Times New Roman" w:cs="Times New Roman"/>
              </w:rPr>
            </w:pPr>
            <w:r w:rsidRPr="00744E31">
              <w:rPr>
                <w:rFonts w:ascii="Times New Roman" w:eastAsia="Times New Roman" w:hAnsi="Times New Roman" w:cs="Times New Roman"/>
              </w:rPr>
              <w:t>Common Side Effects</w:t>
            </w:r>
          </w:p>
          <w:p w:rsidR="00C82DB1" w:rsidRPr="00744E31" w:rsidRDefault="00C82DB1" w:rsidP="00744E31">
            <w:pPr>
              <w:adjustRightInd w:val="0"/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DB1" w:rsidRPr="00744E31" w:rsidRDefault="00C82DB1" w:rsidP="00744E31">
            <w:pPr>
              <w:adjustRightInd w:val="0"/>
              <w:snapToGrid w:val="0"/>
              <w:rPr>
                <w:rFonts w:ascii="Times New Roman" w:eastAsia="Times New Roman" w:hAnsi="Times New Roman" w:cs="Times New Roman"/>
              </w:rPr>
            </w:pPr>
            <w:r w:rsidRPr="00744E31">
              <w:rPr>
                <w:rFonts w:ascii="Times New Roman" w:eastAsia="Times New Roman" w:hAnsi="Times New Roman" w:cs="Times New Roman"/>
              </w:rPr>
              <w:t>The most common side effect is injection site reactions, including redness, tenderness, warmth, or itching. Other potential side effects include headache, fatigue, joint pain, and diarrhea.</w:t>
            </w:r>
          </w:p>
          <w:p w:rsidR="00C82DB1" w:rsidRPr="00744E31" w:rsidRDefault="00C82DB1" w:rsidP="00744E31">
            <w:pPr>
              <w:adjustRightInd w:val="0"/>
              <w:snapToGrid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C82DB1" w:rsidRPr="008A3055" w:rsidTr="00744E31">
        <w:tc>
          <w:tcPr>
            <w:tcW w:w="3116" w:type="dxa"/>
            <w:vMerge/>
            <w:tcBorders>
              <w:right w:val="single" w:sz="4" w:space="0" w:color="auto"/>
            </w:tcBorders>
          </w:tcPr>
          <w:p w:rsidR="00C82DB1" w:rsidRPr="00744E31" w:rsidRDefault="00C82DB1" w:rsidP="00744E31">
            <w:pPr>
              <w:adjustRightInd w:val="0"/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2DB1" w:rsidRPr="00744E31" w:rsidRDefault="00C82DB1" w:rsidP="00744E31">
            <w:pPr>
              <w:adjustRightInd w:val="0"/>
              <w:snapToGrid w:val="0"/>
              <w:rPr>
                <w:rFonts w:ascii="Times New Roman" w:eastAsia="Times New Roman" w:hAnsi="Times New Roman" w:cs="Times New Roman"/>
              </w:rPr>
            </w:pPr>
            <w:r w:rsidRPr="00744E31">
              <w:rPr>
                <w:rFonts w:ascii="Times New Roman" w:eastAsia="Times New Roman" w:hAnsi="Times New Roman" w:cs="Times New Roman"/>
              </w:rPr>
              <w:t>When to contact the Adult Bleeding Disorder Program (ABDP)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DB1" w:rsidRPr="00744E31" w:rsidRDefault="00C82DB1" w:rsidP="00C82DB1">
            <w:pPr>
              <w:pStyle w:val="ListParagraph"/>
              <w:numPr>
                <w:ilvl w:val="0"/>
                <w:numId w:val="3"/>
              </w:numPr>
              <w:adjustRightInd w:val="0"/>
              <w:snapToGrid w:val="0"/>
              <w:ind w:left="0" w:firstLine="0"/>
              <w:contextualSpacing w:val="0"/>
              <w:rPr>
                <w:rFonts w:ascii="Times New Roman" w:eastAsia="Times New Roman" w:hAnsi="Times New Roman" w:cs="Times New Roman"/>
              </w:rPr>
            </w:pPr>
            <w:r w:rsidRPr="00744E31">
              <w:rPr>
                <w:rFonts w:ascii="Times New Roman" w:eastAsia="Times New Roman" w:hAnsi="Times New Roman" w:cs="Times New Roman"/>
              </w:rPr>
              <w:t>Patients must call the ABDP immediately if any signs or symptoms of a bleed occur to get treatment advice.</w:t>
            </w:r>
          </w:p>
          <w:p w:rsidR="00C82DB1" w:rsidRPr="00744E31" w:rsidRDefault="00C82DB1" w:rsidP="00C82DB1">
            <w:pPr>
              <w:pStyle w:val="ListParagraph"/>
              <w:numPr>
                <w:ilvl w:val="0"/>
                <w:numId w:val="3"/>
              </w:numPr>
              <w:adjustRightInd w:val="0"/>
              <w:snapToGrid w:val="0"/>
              <w:ind w:left="0" w:firstLine="0"/>
              <w:contextualSpacing w:val="0"/>
              <w:rPr>
                <w:rFonts w:ascii="Times New Roman" w:eastAsia="Times New Roman" w:hAnsi="Times New Roman" w:cs="Times New Roman"/>
              </w:rPr>
            </w:pPr>
            <w:r w:rsidRPr="00744E31">
              <w:rPr>
                <w:rFonts w:ascii="Times New Roman" w:eastAsia="Times New Roman" w:hAnsi="Times New Roman" w:cs="Times New Roman"/>
              </w:rPr>
              <w:t>Contact is also recommended for any symptoms of Thrombotic Microangiopathy (TMA) or thrombosis, before any planned medical procedures, and after missing a dose.</w:t>
            </w:r>
          </w:p>
        </w:tc>
      </w:tr>
      <w:tr w:rsidR="00C82DB1" w:rsidRPr="008A3055" w:rsidTr="00744E31">
        <w:tc>
          <w:tcPr>
            <w:tcW w:w="3116" w:type="dxa"/>
            <w:vMerge/>
            <w:tcBorders>
              <w:right w:val="single" w:sz="4" w:space="0" w:color="auto"/>
            </w:tcBorders>
          </w:tcPr>
          <w:p w:rsidR="00C82DB1" w:rsidRPr="00744E31" w:rsidRDefault="00C82DB1" w:rsidP="00744E31">
            <w:pPr>
              <w:adjustRightInd w:val="0"/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2DB1" w:rsidRPr="00744E31" w:rsidRDefault="00C82DB1" w:rsidP="00744E31">
            <w:pPr>
              <w:adjustRightInd w:val="0"/>
              <w:snapToGrid w:val="0"/>
              <w:rPr>
                <w:rFonts w:ascii="Times New Roman" w:eastAsia="Times New Roman" w:hAnsi="Times New Roman" w:cs="Times New Roman"/>
              </w:rPr>
            </w:pPr>
            <w:r w:rsidRPr="00744E31">
              <w:rPr>
                <w:rFonts w:ascii="Times New Roman" w:eastAsia="Times New Roman" w:hAnsi="Times New Roman" w:cs="Times New Roman"/>
              </w:rPr>
              <w:t>Proper Storage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DB1" w:rsidRPr="00744E31" w:rsidRDefault="00C82DB1" w:rsidP="00C82DB1">
            <w:pPr>
              <w:numPr>
                <w:ilvl w:val="0"/>
                <w:numId w:val="2"/>
              </w:numPr>
              <w:adjustRightInd w:val="0"/>
              <w:snapToGrid w:val="0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744E31">
              <w:rPr>
                <w:rFonts w:ascii="Times New Roman" w:eastAsia="Times New Roman" w:hAnsi="Times New Roman" w:cs="Times New Roman"/>
              </w:rPr>
              <w:t>Store emicizumab</w:t>
            </w:r>
            <w:r w:rsidRPr="00744E31">
              <w:rPr>
                <w:rFonts w:ascii="Times New Roman" w:hAnsi="Times New Roman" w:cs="Times New Roman"/>
                <w:lang w:eastAsia="zh-CN"/>
              </w:rPr>
              <w:t>®</w:t>
            </w:r>
            <w:r w:rsidRPr="00744E31">
              <w:rPr>
                <w:rFonts w:ascii="Times New Roman" w:eastAsia="Times New Roman" w:hAnsi="Times New Roman" w:cs="Times New Roman"/>
              </w:rPr>
              <w:t xml:space="preserve"> in its original box in the refrigerator at a temperature between 2°C and 8°C.</w:t>
            </w:r>
          </w:p>
          <w:p w:rsidR="00C82DB1" w:rsidRPr="00744E31" w:rsidRDefault="00C82DB1" w:rsidP="00C82DB1">
            <w:pPr>
              <w:numPr>
                <w:ilvl w:val="0"/>
                <w:numId w:val="2"/>
              </w:numPr>
              <w:adjustRightInd w:val="0"/>
              <w:snapToGrid w:val="0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744E31">
              <w:rPr>
                <w:rFonts w:ascii="Times New Roman" w:eastAsia="Times New Roman" w:hAnsi="Times New Roman" w:cs="Times New Roman"/>
              </w:rPr>
              <w:t>Protect from light and should not be frozen. If frozen, it cannot be used.</w:t>
            </w:r>
          </w:p>
          <w:p w:rsidR="00C82DB1" w:rsidRPr="00744E31" w:rsidRDefault="00C82DB1" w:rsidP="00C82DB1">
            <w:pPr>
              <w:numPr>
                <w:ilvl w:val="0"/>
                <w:numId w:val="2"/>
              </w:numPr>
              <w:adjustRightInd w:val="0"/>
              <w:snapToGrid w:val="0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744E31">
              <w:rPr>
                <w:rFonts w:ascii="Times New Roman" w:eastAsia="Times New Roman" w:hAnsi="Times New Roman" w:cs="Times New Roman"/>
              </w:rPr>
              <w:t>Before injection, the vial should be removed from the refrigerator for at least 15 minutes to allow it to warm to room temperature.</w:t>
            </w:r>
          </w:p>
          <w:p w:rsidR="00C82DB1" w:rsidRPr="00744E31" w:rsidRDefault="00C82DB1" w:rsidP="00C82DB1">
            <w:pPr>
              <w:numPr>
                <w:ilvl w:val="0"/>
                <w:numId w:val="2"/>
              </w:numPr>
              <w:adjustRightInd w:val="0"/>
              <w:snapToGrid w:val="0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744E31">
              <w:rPr>
                <w:rFonts w:ascii="Times New Roman" w:eastAsia="Times New Roman" w:hAnsi="Times New Roman" w:cs="Times New Roman"/>
              </w:rPr>
              <w:t>Emicizumab</w:t>
            </w:r>
            <w:r w:rsidRPr="00744E31">
              <w:rPr>
                <w:rFonts w:ascii="Times New Roman" w:hAnsi="Times New Roman" w:cs="Times New Roman"/>
                <w:lang w:eastAsia="zh-CN"/>
              </w:rPr>
              <w:t>®</w:t>
            </w:r>
            <w:r w:rsidRPr="00744E31">
              <w:rPr>
                <w:rFonts w:ascii="Times New Roman" w:eastAsia="Times New Roman" w:hAnsi="Times New Roman" w:cs="Times New Roman"/>
              </w:rPr>
              <w:t xml:space="preserve"> can be kept at room temperature (not exceeding 30°C) for a maximum of 7 days.</w:t>
            </w:r>
          </w:p>
          <w:p w:rsidR="00C82DB1" w:rsidRPr="00744E31" w:rsidRDefault="00C82DB1" w:rsidP="00744E31">
            <w:pPr>
              <w:adjustRightInd w:val="0"/>
              <w:snapToGrid w:val="0"/>
              <w:rPr>
                <w:rFonts w:ascii="Times New Roman" w:eastAsia="Times New Roman" w:hAnsi="Times New Roman" w:cs="Times New Roman"/>
              </w:rPr>
            </w:pPr>
            <w:r w:rsidRPr="00744E31">
              <w:rPr>
                <w:rFonts w:ascii="Times New Roman" w:eastAsia="Times New Roman" w:hAnsi="Times New Roman" w:cs="Times New Roman"/>
              </w:rPr>
              <w:lastRenderedPageBreak/>
              <w:t>Any leftover medication in a vial must be discarded and not saved for a future injection.</w:t>
            </w:r>
          </w:p>
          <w:p w:rsidR="00C82DB1" w:rsidRPr="00744E31" w:rsidRDefault="00C82DB1" w:rsidP="00744E31">
            <w:pPr>
              <w:adjustRightInd w:val="0"/>
              <w:snapToGrid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C82DB1" w:rsidRPr="008A3055" w:rsidTr="00744E31">
        <w:tc>
          <w:tcPr>
            <w:tcW w:w="3116" w:type="dxa"/>
            <w:vMerge w:val="restart"/>
            <w:tcBorders>
              <w:right w:val="single" w:sz="4" w:space="0" w:color="auto"/>
            </w:tcBorders>
          </w:tcPr>
          <w:p w:rsidR="00C82DB1" w:rsidRPr="00744E31" w:rsidRDefault="00C82DB1" w:rsidP="00744E31">
            <w:pPr>
              <w:adjustRightInd w:val="0"/>
              <w:snapToGrid w:val="0"/>
              <w:rPr>
                <w:rFonts w:ascii="Times New Roman" w:eastAsia="Times New Roman" w:hAnsi="Times New Roman" w:cs="Times New Roman"/>
              </w:rPr>
            </w:pPr>
            <w:r w:rsidRPr="00744E31">
              <w:rPr>
                <w:rFonts w:ascii="Times New Roman" w:eastAsia="Times New Roman" w:hAnsi="Times New Roman" w:cs="Times New Roman"/>
              </w:rPr>
              <w:lastRenderedPageBreak/>
              <w:t>Part 5: Ongoing Monitoring and Follow-up</w:t>
            </w:r>
          </w:p>
          <w:p w:rsidR="00C82DB1" w:rsidRPr="00744E31" w:rsidRDefault="00C82DB1" w:rsidP="00744E31">
            <w:pPr>
              <w:adjustRightInd w:val="0"/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2DB1" w:rsidRPr="00744E31" w:rsidRDefault="00C82DB1" w:rsidP="00744E31">
            <w:pPr>
              <w:adjustRightInd w:val="0"/>
              <w:snapToGrid w:val="0"/>
              <w:rPr>
                <w:rFonts w:ascii="Times New Roman" w:eastAsia="Times New Roman" w:hAnsi="Times New Roman" w:cs="Times New Roman"/>
              </w:rPr>
            </w:pPr>
            <w:r w:rsidRPr="00744E31">
              <w:rPr>
                <w:rFonts w:ascii="Times New Roman" w:eastAsia="Times New Roman" w:hAnsi="Times New Roman" w:cs="Times New Roman"/>
              </w:rPr>
              <w:t>Record Keeping</w:t>
            </w:r>
            <w:r w:rsidRPr="00744E31">
              <w:rPr>
                <w:rFonts w:ascii="Times New Roman" w:eastAsia="Times New Roman" w:hAnsi="Times New Roman" w:cs="Times New Roman"/>
              </w:rPr>
              <w:br/>
            </w:r>
          </w:p>
          <w:p w:rsidR="00C82DB1" w:rsidRPr="00744E31" w:rsidRDefault="00C82DB1" w:rsidP="00744E31">
            <w:pPr>
              <w:adjustRightInd w:val="0"/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DB1" w:rsidRPr="00744E31" w:rsidRDefault="00C82DB1" w:rsidP="00744E31">
            <w:pPr>
              <w:adjustRightInd w:val="0"/>
              <w:snapToGrid w:val="0"/>
              <w:rPr>
                <w:rFonts w:ascii="Times New Roman" w:eastAsia="Times New Roman" w:hAnsi="Times New Roman" w:cs="Times New Roman"/>
              </w:rPr>
            </w:pPr>
            <w:r w:rsidRPr="00744E31">
              <w:rPr>
                <w:rFonts w:ascii="Times New Roman" w:eastAsia="Times New Roman" w:hAnsi="Times New Roman" w:cs="Times New Roman"/>
              </w:rPr>
              <w:t>Patients are required to continue logging all medication doses using their current method (e.g. ICHIP).  All bleeding episodes must continue to be reported.</w:t>
            </w:r>
          </w:p>
          <w:p w:rsidR="00C82DB1" w:rsidRPr="00744E31" w:rsidRDefault="00C82DB1" w:rsidP="00744E31">
            <w:pPr>
              <w:adjustRightInd w:val="0"/>
              <w:snapToGrid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C82DB1" w:rsidRPr="008A3055" w:rsidTr="00744E31">
        <w:tc>
          <w:tcPr>
            <w:tcW w:w="3116" w:type="dxa"/>
            <w:vMerge/>
            <w:tcBorders>
              <w:right w:val="single" w:sz="4" w:space="0" w:color="auto"/>
            </w:tcBorders>
          </w:tcPr>
          <w:p w:rsidR="00C82DB1" w:rsidRPr="00744E31" w:rsidRDefault="00C82DB1" w:rsidP="00744E31">
            <w:pPr>
              <w:adjustRightInd w:val="0"/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2DB1" w:rsidRPr="00744E31" w:rsidRDefault="00C82DB1" w:rsidP="00744E31">
            <w:pPr>
              <w:adjustRightInd w:val="0"/>
              <w:snapToGrid w:val="0"/>
              <w:rPr>
                <w:rFonts w:ascii="Times New Roman" w:eastAsia="Times New Roman" w:hAnsi="Times New Roman" w:cs="Times New Roman"/>
              </w:rPr>
            </w:pPr>
            <w:r w:rsidRPr="00744E31">
              <w:rPr>
                <w:rFonts w:ascii="Times New Roman" w:eastAsia="Times New Roman" w:hAnsi="Times New Roman" w:cs="Times New Roman"/>
              </w:rPr>
              <w:t>Clinical Follow-up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DB1" w:rsidRPr="00744E31" w:rsidRDefault="00C82DB1" w:rsidP="00744E31">
            <w:pPr>
              <w:adjustRightInd w:val="0"/>
              <w:snapToGrid w:val="0"/>
              <w:rPr>
                <w:rFonts w:ascii="Times New Roman" w:eastAsia="Times New Roman" w:hAnsi="Times New Roman" w:cs="Times New Roman"/>
              </w:rPr>
            </w:pPr>
            <w:r w:rsidRPr="00744E31">
              <w:rPr>
                <w:rFonts w:ascii="Times New Roman" w:eastAsia="Times New Roman" w:hAnsi="Times New Roman" w:cs="Times New Roman"/>
              </w:rPr>
              <w:t>A PROBE (Patient Reported Outcomes, Burdens and Experiences) survey was completed before starting treatment and then at 3 months, 6 months.</w:t>
            </w:r>
          </w:p>
          <w:p w:rsidR="00C82DB1" w:rsidRPr="00744E31" w:rsidRDefault="00C82DB1" w:rsidP="00744E31">
            <w:pPr>
              <w:adjustRightInd w:val="0"/>
              <w:snapToGrid w:val="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82DB1" w:rsidRDefault="00C82DB1" w:rsidP="00C82DB1">
      <w:pPr>
        <w:adjustRightInd w:val="0"/>
        <w:snapToGrid w:val="0"/>
        <w:rPr>
          <w:rFonts w:ascii="Times New Roman" w:hAnsi="Times New Roman" w:cs="Times New Roman"/>
        </w:rPr>
      </w:pPr>
    </w:p>
    <w:p w:rsidR="00C82DB1" w:rsidRDefault="00C82DB1" w:rsidP="00C82DB1">
      <w:pPr>
        <w:adjustRightInd w:val="0"/>
        <w:snapToGrid w:val="0"/>
        <w:rPr>
          <w:rFonts w:ascii="Times New Roman" w:hAnsi="Times New Roman" w:cs="Times New Roman"/>
        </w:rPr>
      </w:pPr>
    </w:p>
    <w:sectPr w:rsidR="00C82DB1" w:rsidSect="00864F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1384D"/>
    <w:multiLevelType w:val="hybridMultilevel"/>
    <w:tmpl w:val="A8FAF9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38449BE"/>
    <w:multiLevelType w:val="hybridMultilevel"/>
    <w:tmpl w:val="5FA262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0F95349"/>
    <w:multiLevelType w:val="multilevel"/>
    <w:tmpl w:val="B6FED4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4D2A0718"/>
    <w:multiLevelType w:val="multilevel"/>
    <w:tmpl w:val="AC468A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7192498D"/>
    <w:multiLevelType w:val="multilevel"/>
    <w:tmpl w:val="DECE30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useFELayout/>
  </w:compat>
  <w:rsids>
    <w:rsidRoot w:val="00C82DB1"/>
    <w:rsid w:val="004F5CA0"/>
    <w:rsid w:val="007422A9"/>
    <w:rsid w:val="00864F37"/>
    <w:rsid w:val="00C82DB1"/>
    <w:rsid w:val="00E653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2DB1"/>
    <w:pPr>
      <w:spacing w:after="0" w:line="240" w:lineRule="auto"/>
    </w:pPr>
    <w:rPr>
      <w:sz w:val="24"/>
      <w:szCs w:val="24"/>
      <w:lang w:val="en-CA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2D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2D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2DB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2D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2DB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2DB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2DB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2DB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2DB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2DB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2DB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2DB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2DB1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2DB1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2D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2D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2D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2D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2DB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2D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2DB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2D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2DB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2D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2D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2DB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2DB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2DB1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2DB1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39"/>
    <w:rsid w:val="00C82DB1"/>
    <w:pPr>
      <w:spacing w:after="0" w:line="240" w:lineRule="auto"/>
    </w:pPr>
    <w:rPr>
      <w:sz w:val="24"/>
      <w:szCs w:val="24"/>
      <w:lang w:val="en-C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638</Words>
  <Characters>3643</Characters>
  <Application>Microsoft Office Word</Application>
  <DocSecurity>0</DocSecurity>
  <Lines>30</Lines>
  <Paragraphs>8</Paragraphs>
  <ScaleCrop>false</ScaleCrop>
  <Company>Grizli777</Company>
  <LinksUpToDate>false</LinksUpToDate>
  <CharactersWithSpaces>4273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Adminstrator</cp:lastModifiedBy>
  <cp:revision>2</cp:revision>
  <dcterms:created xsi:type="dcterms:W3CDTF">2025-10-05T17:40:00Z</dcterms:created>
  <dcterms:modified xsi:type="dcterms:W3CDTF">2025-10-09T11:22:00Z</dcterms:modified>
</cp:coreProperties>
</file>