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075E" w14:textId="4265BAE6" w:rsidR="006A1487" w:rsidRDefault="00861A08" w:rsidP="00861A08">
      <w:pPr>
        <w:adjustRightInd w:val="0"/>
        <w:snapToGrid w:val="0"/>
      </w:pPr>
      <w:r w:rsidRPr="00861A08">
        <w:rPr>
          <w:b/>
          <w:bCs/>
          <w:lang w:eastAsia="zh-CN"/>
        </w:rPr>
        <w:t>Suppl</w:t>
      </w:r>
      <w:r w:rsidR="006A1487" w:rsidRPr="00861A08">
        <w:rPr>
          <w:b/>
          <w:bCs/>
        </w:rPr>
        <w:t xml:space="preserve"> 1</w:t>
      </w:r>
      <w:r w:rsidRPr="00861A08">
        <w:rPr>
          <w:b/>
          <w:bCs/>
          <w:lang w:eastAsia="zh-CN"/>
        </w:rPr>
        <w:t xml:space="preserve">. </w:t>
      </w:r>
      <w:r w:rsidR="006A1487" w:rsidRPr="00861A08">
        <w:t>Definitions of terms in 2019 ASH guidelines on ITP</w:t>
      </w:r>
    </w:p>
    <w:p w14:paraId="60405AE5" w14:textId="77777777" w:rsidR="007840FD" w:rsidRPr="00861A08" w:rsidRDefault="007840FD" w:rsidP="00861A08">
      <w:pPr>
        <w:adjustRightInd w:val="0"/>
        <w:snapToGrid w:val="0"/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A1487" w:rsidRPr="00861A08" w14:paraId="22E97A80" w14:textId="77777777" w:rsidTr="007840FD">
        <w:tc>
          <w:tcPr>
            <w:tcW w:w="5000" w:type="pct"/>
          </w:tcPr>
          <w:p w14:paraId="470B9896" w14:textId="77777777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Newly diagnosed ITP:</w:t>
            </w:r>
            <w:r w:rsidRPr="00861A08">
              <w:t xml:space="preserve"> ITP duration of &lt; 3 months</w:t>
            </w:r>
          </w:p>
        </w:tc>
      </w:tr>
      <w:tr w:rsidR="006A1487" w:rsidRPr="00861A08" w14:paraId="02C30AA3" w14:textId="77777777" w:rsidTr="007840FD">
        <w:tc>
          <w:tcPr>
            <w:tcW w:w="5000" w:type="pct"/>
          </w:tcPr>
          <w:p w14:paraId="720D4954" w14:textId="7F2976F7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Persistent ITP:</w:t>
            </w:r>
            <w:r w:rsidRPr="00861A08">
              <w:t xml:space="preserve"> ITP duration of 3 </w:t>
            </w:r>
            <w:r w:rsidR="007840FD">
              <w:rPr>
                <w:rFonts w:hint="eastAsia"/>
                <w:lang w:eastAsia="zh-CN"/>
              </w:rPr>
              <w:t>-</w:t>
            </w:r>
            <w:r w:rsidRPr="00861A08">
              <w:t xml:space="preserve"> 12 months</w:t>
            </w:r>
          </w:p>
        </w:tc>
      </w:tr>
      <w:tr w:rsidR="006A1487" w:rsidRPr="00861A08" w14:paraId="1C10B926" w14:textId="77777777" w:rsidTr="007840FD">
        <w:tc>
          <w:tcPr>
            <w:tcW w:w="5000" w:type="pct"/>
          </w:tcPr>
          <w:p w14:paraId="0F7BD115" w14:textId="41D76423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Chronic ITP:</w:t>
            </w:r>
            <w:r w:rsidRPr="00861A08">
              <w:t xml:space="preserve"> ITP duration of &gt; 12 months</w:t>
            </w:r>
          </w:p>
        </w:tc>
      </w:tr>
      <w:tr w:rsidR="006A1487" w:rsidRPr="00861A08" w14:paraId="1443F04A" w14:textId="77777777" w:rsidTr="007840FD">
        <w:tc>
          <w:tcPr>
            <w:tcW w:w="5000" w:type="pct"/>
          </w:tcPr>
          <w:p w14:paraId="489B98DB" w14:textId="2882C18B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Corticosteroid</w:t>
            </w:r>
            <w:r w:rsidR="007840FD">
              <w:rPr>
                <w:rFonts w:hint="eastAsia"/>
                <w:b/>
                <w:lang w:eastAsia="zh-CN"/>
              </w:rPr>
              <w:t>-</w:t>
            </w:r>
            <w:r w:rsidRPr="00861A08">
              <w:rPr>
                <w:b/>
              </w:rPr>
              <w:t>dependent:</w:t>
            </w:r>
            <w:r w:rsidRPr="00861A08">
              <w:t xml:space="preserve"> Ongoing need for continuous prednisolone &gt;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5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mg/day (or corticosteroid</w:t>
            </w:r>
            <w:r w:rsidR="007840FD">
              <w:rPr>
                <w:rFonts w:hint="eastAsia"/>
                <w:lang w:eastAsia="zh-CN"/>
              </w:rPr>
              <w:t>-</w:t>
            </w:r>
            <w:r w:rsidRPr="00861A08">
              <w:t xml:space="preserve">equivalent) or frequent courses of corticosteroids to maintain a platelet counts of </w:t>
            </w:r>
            <w:r w:rsidR="00566C35">
              <w:t>≥</w:t>
            </w:r>
            <w:r w:rsidRPr="00861A08">
              <w:t xml:space="preserve"> 30,000/mm</w:t>
            </w:r>
            <w:r w:rsidR="007840FD" w:rsidRPr="007840FD">
              <w:rPr>
                <w:rFonts w:hint="eastAsia"/>
                <w:vertAlign w:val="superscript"/>
                <w:lang w:eastAsia="zh-CN"/>
              </w:rPr>
              <w:t>3</w:t>
            </w:r>
            <w:r w:rsidRPr="00861A08">
              <w:t xml:space="preserve"> and/or to avoid bleeding</w:t>
            </w:r>
          </w:p>
        </w:tc>
      </w:tr>
      <w:tr w:rsidR="006A1487" w:rsidRPr="00861A08" w14:paraId="1C6D8B28" w14:textId="77777777" w:rsidTr="007840FD">
        <w:tc>
          <w:tcPr>
            <w:tcW w:w="5000" w:type="pct"/>
          </w:tcPr>
          <w:p w14:paraId="0D65FB7C" w14:textId="5A84A71F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Durable response:</w:t>
            </w:r>
            <w:r w:rsidRPr="00861A08">
              <w:t xml:space="preserve"> Platelet counts </w:t>
            </w:r>
            <w:r w:rsidR="00566C35">
              <w:t>≥</w:t>
            </w:r>
            <w:r w:rsidR="00566C35">
              <w:rPr>
                <w:rFonts w:hint="eastAsia"/>
                <w:lang w:eastAsia="zh-CN"/>
              </w:rPr>
              <w:t xml:space="preserve"> </w:t>
            </w:r>
            <w:r w:rsidRPr="00861A08">
              <w:t>30,000/</w:t>
            </w:r>
            <w:r w:rsidR="007840FD" w:rsidRPr="00861A08">
              <w:t>mm</w:t>
            </w:r>
            <w:r w:rsidR="007840FD" w:rsidRPr="007840FD">
              <w:rPr>
                <w:rFonts w:hint="eastAsia"/>
                <w:vertAlign w:val="superscript"/>
                <w:lang w:eastAsia="zh-CN"/>
              </w:rPr>
              <w:t>3</w:t>
            </w:r>
            <w:r w:rsidRPr="00861A08">
              <w:t xml:space="preserve"> and at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least doubling of the baseline count at 6 months</w:t>
            </w:r>
          </w:p>
        </w:tc>
      </w:tr>
      <w:tr w:rsidR="006A1487" w:rsidRPr="00861A08" w14:paraId="200FB271" w14:textId="77777777" w:rsidTr="007840FD">
        <w:tc>
          <w:tcPr>
            <w:tcW w:w="5000" w:type="pct"/>
          </w:tcPr>
          <w:p w14:paraId="31803F78" w14:textId="26167DD5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Early response:</w:t>
            </w:r>
            <w:r w:rsidRPr="00861A08">
              <w:t xml:space="preserve"> Platelet counts </w:t>
            </w:r>
            <w:r w:rsidR="00566C35">
              <w:t>≥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30,000/</w:t>
            </w:r>
            <w:r w:rsidR="007840FD" w:rsidRPr="00861A08">
              <w:t>mm</w:t>
            </w:r>
            <w:r w:rsidR="007840FD" w:rsidRPr="007840FD">
              <w:rPr>
                <w:rFonts w:hint="eastAsia"/>
                <w:vertAlign w:val="superscript"/>
                <w:lang w:eastAsia="zh-CN"/>
              </w:rPr>
              <w:t>3</w:t>
            </w:r>
            <w:r w:rsidRPr="00861A08">
              <w:t xml:space="preserve"> and at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least doubling of the baseline count at 1 week</w:t>
            </w:r>
          </w:p>
        </w:tc>
      </w:tr>
      <w:tr w:rsidR="006A1487" w:rsidRPr="00861A08" w14:paraId="6D2637C5" w14:textId="77777777" w:rsidTr="007840FD">
        <w:tc>
          <w:tcPr>
            <w:tcW w:w="5000" w:type="pct"/>
          </w:tcPr>
          <w:p w14:paraId="153D5658" w14:textId="60A278E4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Initial response:</w:t>
            </w:r>
            <w:r w:rsidRPr="00861A08">
              <w:t xml:space="preserve"> Platelet counts </w:t>
            </w:r>
            <w:r w:rsidR="00566C35">
              <w:t>≥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30,000/</w:t>
            </w:r>
            <w:r w:rsidR="007840FD" w:rsidRPr="00861A08">
              <w:t>mm</w:t>
            </w:r>
            <w:r w:rsidR="007840FD" w:rsidRPr="007840FD">
              <w:rPr>
                <w:rFonts w:hint="eastAsia"/>
                <w:vertAlign w:val="superscript"/>
                <w:lang w:eastAsia="zh-CN"/>
              </w:rPr>
              <w:t>3</w:t>
            </w:r>
            <w:r w:rsidRPr="00861A08">
              <w:t xml:space="preserve"> and at</w:t>
            </w:r>
            <w:r w:rsidR="007840FD">
              <w:rPr>
                <w:rFonts w:hint="eastAsia"/>
                <w:lang w:eastAsia="zh-CN"/>
              </w:rPr>
              <w:t xml:space="preserve"> </w:t>
            </w:r>
            <w:r w:rsidRPr="00861A08">
              <w:t>least doubling of the baseline count at 1 month</w:t>
            </w:r>
          </w:p>
        </w:tc>
      </w:tr>
      <w:tr w:rsidR="006A1487" w:rsidRPr="00861A08" w14:paraId="3B7B3CCD" w14:textId="77777777" w:rsidTr="007840FD">
        <w:tc>
          <w:tcPr>
            <w:tcW w:w="5000" w:type="pct"/>
          </w:tcPr>
          <w:p w14:paraId="6E367D8B" w14:textId="352A6315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M</w:t>
            </w:r>
            <w:r w:rsidR="00D5305E" w:rsidRPr="00861A08">
              <w:rPr>
                <w:b/>
              </w:rPr>
              <w:t>ajor bleeding</w:t>
            </w:r>
            <w:r w:rsidRPr="00861A08">
              <w:rPr>
                <w:b/>
              </w:rPr>
              <w:t>*:</w:t>
            </w:r>
            <w:r w:rsidRPr="00861A08">
              <w:t xml:space="preserve"> 1) WHO grade 3 or 4 bleeding; 2) Buchanan severe grade; 3) Bolton</w:t>
            </w:r>
            <w:r w:rsidR="007840FD">
              <w:rPr>
                <w:rFonts w:hint="eastAsia"/>
                <w:lang w:eastAsia="zh-CN"/>
              </w:rPr>
              <w:t>-</w:t>
            </w:r>
            <w:r w:rsidRPr="00861A08">
              <w:t>Maggs and Moon “major bleeding”; 4) IBLS grade 2 or higher; 5) life</w:t>
            </w:r>
            <w:r w:rsidR="007840FD">
              <w:rPr>
                <w:rFonts w:hint="eastAsia"/>
                <w:lang w:eastAsia="zh-CN"/>
              </w:rPr>
              <w:t>-</w:t>
            </w:r>
            <w:r w:rsidRPr="00861A08">
              <w:t xml:space="preserve"> threatening or intracerebral hemorrhage bleeding</w:t>
            </w:r>
          </w:p>
        </w:tc>
      </w:tr>
      <w:tr w:rsidR="006A1487" w:rsidRPr="00861A08" w14:paraId="62680E99" w14:textId="77777777" w:rsidTr="007840FD">
        <w:tc>
          <w:tcPr>
            <w:tcW w:w="5000" w:type="pct"/>
          </w:tcPr>
          <w:p w14:paraId="01D84F55" w14:textId="32A6539E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M</w:t>
            </w:r>
            <w:r w:rsidR="00D5305E" w:rsidRPr="00861A08">
              <w:rPr>
                <w:b/>
              </w:rPr>
              <w:t>inor bleeding</w:t>
            </w:r>
            <w:r w:rsidRPr="00861A08">
              <w:rPr>
                <w:b/>
              </w:rPr>
              <w:t>:</w:t>
            </w:r>
            <w:r w:rsidRPr="00861A08">
              <w:t xml:space="preserve"> Any bleeding not meeting the criteria for “major bleeding”</w:t>
            </w:r>
          </w:p>
        </w:tc>
      </w:tr>
      <w:tr w:rsidR="006A1487" w:rsidRPr="00861A08" w14:paraId="5167019D" w14:textId="77777777" w:rsidTr="007840FD">
        <w:tc>
          <w:tcPr>
            <w:tcW w:w="5000" w:type="pct"/>
          </w:tcPr>
          <w:p w14:paraId="4D04EF8E" w14:textId="72F25EA7" w:rsidR="006A1487" w:rsidRPr="00861A08" w:rsidRDefault="006A1487" w:rsidP="00E7342A">
            <w:pPr>
              <w:adjustRightInd w:val="0"/>
              <w:snapToGrid w:val="0"/>
            </w:pPr>
            <w:r w:rsidRPr="00861A08">
              <w:rPr>
                <w:b/>
              </w:rPr>
              <w:t>Remission:</w:t>
            </w:r>
            <w:r w:rsidRPr="00861A08">
              <w:t xml:space="preserve"> Platelet counts &gt;</w:t>
            </w:r>
            <w:r w:rsidR="00E7342A">
              <w:rPr>
                <w:rFonts w:hint="eastAsia"/>
                <w:lang w:eastAsia="zh-CN"/>
              </w:rPr>
              <w:t xml:space="preserve"> </w:t>
            </w:r>
            <w:r w:rsidRPr="00861A08">
              <w:t>100,000/</w:t>
            </w:r>
            <w:r w:rsidR="007840FD" w:rsidRPr="00861A08">
              <w:t>mm</w:t>
            </w:r>
            <w:r w:rsidR="007840FD" w:rsidRPr="007840FD">
              <w:rPr>
                <w:rFonts w:hint="eastAsia"/>
                <w:vertAlign w:val="superscript"/>
                <w:lang w:eastAsia="zh-CN"/>
              </w:rPr>
              <w:t>3</w:t>
            </w:r>
            <w:r w:rsidRPr="00861A08">
              <w:t xml:space="preserve"> at 12 months</w:t>
            </w:r>
          </w:p>
        </w:tc>
      </w:tr>
    </w:tbl>
    <w:p w14:paraId="0D119FB4" w14:textId="4F3FB8F1" w:rsidR="009E48E0" w:rsidRPr="007840FD" w:rsidRDefault="002B3BA1" w:rsidP="007840FD">
      <w:pPr>
        <w:pStyle w:val="a9"/>
        <w:adjustRightInd w:val="0"/>
        <w:snapToGrid w:val="0"/>
        <w:ind w:left="0"/>
        <w:contextualSpacing w:val="0"/>
      </w:pPr>
      <w:r>
        <w:rPr>
          <w:rFonts w:hint="eastAsia"/>
          <w:lang w:eastAsia="zh-CN"/>
        </w:rPr>
        <w:t>*</w:t>
      </w:r>
      <w:r w:rsidR="006A1487" w:rsidRPr="007840FD">
        <w:t xml:space="preserve">In our study, criteria for major bleeding chosen was WHO grade 3 or 4 bleeding </w:t>
      </w:r>
      <w:r w:rsidR="007840FD">
        <w:rPr>
          <w:rFonts w:hint="eastAsia"/>
          <w:lang w:eastAsia="zh-CN"/>
        </w:rPr>
        <w:t>(</w:t>
      </w:r>
      <w:r w:rsidR="006A1487" w:rsidRPr="007840FD">
        <w:t>Grade 3 bleed included bleeding requiring red blood cell transfusion or associated with moderate hemodynamic instability; Grade 4 bleed included bleeding associated with severe hemodynamic instability or central nervous system bleed)</w:t>
      </w:r>
      <w:r w:rsidR="006A1487" w:rsidRPr="007840FD">
        <w:rPr>
          <w:lang w:eastAsia="zh-CN"/>
        </w:rPr>
        <w:t>.</w:t>
      </w:r>
    </w:p>
    <w:sectPr w:rsidR="009E48E0" w:rsidRPr="0078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23B7"/>
    <w:multiLevelType w:val="hybridMultilevel"/>
    <w:tmpl w:val="FF2E2E6A"/>
    <w:lvl w:ilvl="0" w:tplc="D1FAE9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87"/>
    <w:rsid w:val="002B3BA1"/>
    <w:rsid w:val="00566C35"/>
    <w:rsid w:val="006A1487"/>
    <w:rsid w:val="007840FD"/>
    <w:rsid w:val="00861A08"/>
    <w:rsid w:val="00922E90"/>
    <w:rsid w:val="009E48E0"/>
    <w:rsid w:val="00A40028"/>
    <w:rsid w:val="00A83152"/>
    <w:rsid w:val="00D5305E"/>
    <w:rsid w:val="00D673D8"/>
    <w:rsid w:val="00D976D7"/>
    <w:rsid w:val="00E7342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35B5"/>
  <w15:chartTrackingRefBased/>
  <w15:docId w15:val="{BFB5DD47-D02B-409E-BD64-16AC2FA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87"/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4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4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4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4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4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1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48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A1487"/>
    <w:rPr>
      <w:kern w:val="0"/>
      <w:sz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7</cp:revision>
  <dcterms:created xsi:type="dcterms:W3CDTF">2025-05-08T05:00:00Z</dcterms:created>
  <dcterms:modified xsi:type="dcterms:W3CDTF">2025-05-08T05:58:00Z</dcterms:modified>
</cp:coreProperties>
</file>